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B4F1C">
      <w:pPr>
        <w:jc w:val="center"/>
        <w:rPr>
          <w:rFonts w:ascii="宋体" w:hAnsi="宋体" w:eastAsia="宋体" w:cstheme="majorEastAsia"/>
          <w:b/>
          <w:sz w:val="32"/>
        </w:rPr>
      </w:pPr>
      <w:r>
        <w:rPr>
          <w:rFonts w:hint="eastAsia" w:ascii="宋体" w:hAnsi="宋体" w:eastAsia="宋体" w:cstheme="majorEastAsia"/>
          <w:b/>
          <w:sz w:val="32"/>
        </w:rPr>
        <w:t>湛江中心人民医院2024年非药肠内营养品采购及配送服务项目需求书</w:t>
      </w:r>
    </w:p>
    <w:p w14:paraId="34ECCB70">
      <w:pPr>
        <w:spacing w:line="360" w:lineRule="exact"/>
        <w:ind w:firstLine="472" w:firstLineChars="196"/>
        <w:rPr>
          <w:rFonts w:ascii="宋体" w:hAnsi="宋体" w:eastAsia="宋体" w:cstheme="majorEastAsia"/>
          <w:b/>
          <w:sz w:val="24"/>
        </w:rPr>
      </w:pPr>
    </w:p>
    <w:p w14:paraId="5F919086">
      <w:pPr>
        <w:spacing w:line="360" w:lineRule="exact"/>
        <w:ind w:firstLine="472" w:firstLineChars="196"/>
        <w:rPr>
          <w:rFonts w:ascii="宋体" w:hAnsi="宋体" w:eastAsia="宋体" w:cstheme="majorEastAsia"/>
          <w:b/>
          <w:sz w:val="24"/>
        </w:rPr>
      </w:pPr>
      <w:r>
        <w:rPr>
          <w:rFonts w:hint="eastAsia" w:ascii="宋体" w:hAnsi="宋体" w:eastAsia="宋体" w:cstheme="majorEastAsia"/>
          <w:b/>
          <w:sz w:val="24"/>
        </w:rPr>
        <w:t>一、合格投标人资格要求</w:t>
      </w:r>
    </w:p>
    <w:p w14:paraId="047776D9">
      <w:pPr>
        <w:tabs>
          <w:tab w:val="left" w:pos="312"/>
        </w:tabs>
        <w:spacing w:line="360" w:lineRule="exact"/>
        <w:ind w:firstLine="472" w:firstLineChars="196"/>
        <w:rPr>
          <w:rFonts w:ascii="宋体" w:hAnsi="宋体" w:eastAsia="宋体" w:cstheme="majorEastAsia"/>
          <w:b/>
          <w:sz w:val="24"/>
        </w:rPr>
      </w:pPr>
      <w:r>
        <w:rPr>
          <w:rFonts w:hint="eastAsia" w:ascii="宋体" w:hAnsi="宋体" w:eastAsia="宋体" w:cstheme="majorEastAsia"/>
          <w:b/>
          <w:sz w:val="24"/>
        </w:rPr>
        <w:t>1.投标人应具备《中华人民共和国政府采购法》第二十二条规定的条件。</w:t>
      </w:r>
    </w:p>
    <w:p w14:paraId="7596CEFD">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968A537">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2）有依法缴纳税收和社会保障资金的良好记录：提供投标截止日前6个月内任意1个月依法缴纳税收和社会保障资金的相关材料。 如依法免税或不需要缴纳社会保障资金的， 提供相应证明材料。</w:t>
      </w:r>
    </w:p>
    <w:p w14:paraId="64953518">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3）具有良好的商业信誉和健全的财务会计制度：供应商必须具有良好的商业信誉和健全的财务会计制度（提供2021-2022年任意一年的财务状况报告或基本开户行出具的资信证明） 。</w:t>
      </w:r>
    </w:p>
    <w:p w14:paraId="29E15DC3">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4）履行合同所必需的设备和专业技术能力：按投标（响应）文件格式填报设备及专业技术能力情况或提供承诺函承诺相关内容。</w:t>
      </w:r>
    </w:p>
    <w:p w14:paraId="4F8CAA09">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5）参加采购活动前3年内，在经营活动中没有重大违法记录：提供投标（报价）函承诺相关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F834EA1">
      <w:pPr>
        <w:spacing w:line="360" w:lineRule="exact"/>
        <w:ind w:firstLine="472" w:firstLineChars="196"/>
        <w:rPr>
          <w:rFonts w:ascii="宋体" w:hAnsi="宋体" w:eastAsia="宋体" w:cstheme="majorEastAsia"/>
          <w:b/>
          <w:sz w:val="24"/>
        </w:rPr>
      </w:pPr>
      <w:r>
        <w:rPr>
          <w:rFonts w:hint="eastAsia" w:ascii="宋体" w:hAnsi="宋体" w:eastAsia="宋体" w:cstheme="majorEastAsia"/>
          <w:b/>
          <w:sz w:val="24"/>
        </w:rPr>
        <w:t>2.本项目特定的资格要求：</w:t>
      </w:r>
    </w:p>
    <w:p w14:paraId="6E4EC955">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C2BD08F">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2)单位负责人为同一人或者存在直接控股、管理关系的不同供应商，不得同时参加本采购项目同一采购包投标（响应）（提供投标（报价）函承诺相关内容）。</w:t>
      </w:r>
    </w:p>
    <w:p w14:paraId="5838B089">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3)为本项目提供整体设计、规范编制或者项目管理、监理、检测等服务的供应商，不得再参与本项目投标（响应）（提供投标（报价）函承诺相关内容）。</w:t>
      </w:r>
    </w:p>
    <w:p w14:paraId="6E122DAF">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4)供应商具有有效期内的《食品经营许可证》或《食品生产许可证》或《仅销售预包装食品经营者备案信息采集表》，且该证涵盖本服务经营范围。</w:t>
      </w:r>
    </w:p>
    <w:p w14:paraId="1A81C7C6">
      <w:pPr>
        <w:spacing w:line="360" w:lineRule="exact"/>
        <w:ind w:firstLine="472" w:firstLineChars="196"/>
        <w:rPr>
          <w:rFonts w:ascii="宋体" w:hAnsi="宋体" w:eastAsia="宋体" w:cstheme="majorEastAsia"/>
          <w:b/>
          <w:sz w:val="24"/>
        </w:rPr>
      </w:pPr>
      <w:r>
        <w:rPr>
          <w:rFonts w:hint="eastAsia" w:ascii="宋体" w:hAnsi="宋体" w:eastAsia="宋体" w:cstheme="majorEastAsia"/>
          <w:b/>
          <w:sz w:val="24"/>
        </w:rPr>
        <w:t>3、本项目不接受联合体投标</w:t>
      </w:r>
    </w:p>
    <w:p w14:paraId="1FE5FCA6">
      <w:pPr>
        <w:spacing w:line="360" w:lineRule="exact"/>
        <w:ind w:firstLine="482" w:firstLineChars="200"/>
        <w:rPr>
          <w:rFonts w:ascii="宋体" w:hAnsi="宋体" w:eastAsia="宋体" w:cstheme="majorEastAsia"/>
          <w:sz w:val="24"/>
        </w:rPr>
      </w:pPr>
      <w:r>
        <w:rPr>
          <w:rFonts w:hint="eastAsia" w:ascii="宋体" w:hAnsi="宋体" w:eastAsia="宋体" w:cstheme="majorEastAsia"/>
          <w:b/>
          <w:sz w:val="24"/>
        </w:rPr>
        <w:t>二、项目概况：</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16"/>
        <w:gridCol w:w="1049"/>
        <w:gridCol w:w="2640"/>
      </w:tblGrid>
      <w:tr w14:paraId="020F7E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616" w:type="dxa"/>
            <w:tcBorders>
              <w:top w:val="single" w:color="000000" w:sz="4" w:space="0"/>
              <w:left w:val="single" w:color="000000" w:sz="4" w:space="0"/>
              <w:bottom w:val="single" w:color="000000" w:sz="4" w:space="0"/>
              <w:right w:val="single" w:color="000000" w:sz="4" w:space="0"/>
            </w:tcBorders>
            <w:shd w:val="clear" w:color="auto" w:fill="EEECE1"/>
          </w:tcPr>
          <w:p w14:paraId="04C89752">
            <w:pPr>
              <w:jc w:val="center"/>
              <w:rPr>
                <w:rFonts w:ascii="宋体" w:hAnsi="宋体" w:eastAsia="宋体" w:cstheme="majorEastAsia"/>
                <w:sz w:val="24"/>
              </w:rPr>
            </w:pPr>
            <w:r>
              <w:rPr>
                <w:rFonts w:hint="eastAsia" w:ascii="宋体" w:hAnsi="宋体" w:eastAsia="宋体" w:cstheme="majorEastAsia"/>
                <w:b/>
                <w:sz w:val="24"/>
              </w:rPr>
              <w:t>采购标的</w:t>
            </w:r>
          </w:p>
        </w:tc>
        <w:tc>
          <w:tcPr>
            <w:tcW w:w="1049" w:type="dxa"/>
            <w:tcBorders>
              <w:top w:val="single" w:color="000000" w:sz="4" w:space="0"/>
              <w:left w:val="single" w:color="000000" w:sz="4" w:space="0"/>
              <w:bottom w:val="single" w:color="000000" w:sz="4" w:space="0"/>
              <w:right w:val="single" w:color="000000" w:sz="4" w:space="0"/>
            </w:tcBorders>
            <w:shd w:val="clear" w:color="auto" w:fill="EEECE1"/>
          </w:tcPr>
          <w:p w14:paraId="0A27CD12">
            <w:pPr>
              <w:jc w:val="center"/>
              <w:rPr>
                <w:rFonts w:ascii="宋体" w:hAnsi="宋体" w:eastAsia="宋体" w:cstheme="majorEastAsia"/>
                <w:sz w:val="24"/>
              </w:rPr>
            </w:pPr>
            <w:r>
              <w:rPr>
                <w:rFonts w:hint="eastAsia" w:ascii="宋体" w:hAnsi="宋体" w:eastAsia="宋体" w:cstheme="majorEastAsia"/>
                <w:b/>
                <w:sz w:val="24"/>
              </w:rPr>
              <w:t>数量</w:t>
            </w:r>
          </w:p>
        </w:tc>
        <w:tc>
          <w:tcPr>
            <w:tcW w:w="2640" w:type="dxa"/>
            <w:tcBorders>
              <w:top w:val="single" w:color="000000" w:sz="4" w:space="0"/>
              <w:left w:val="single" w:color="000000" w:sz="4" w:space="0"/>
              <w:bottom w:val="single" w:color="000000" w:sz="4" w:space="0"/>
              <w:right w:val="single" w:color="000000" w:sz="4" w:space="0"/>
            </w:tcBorders>
            <w:shd w:val="clear" w:color="auto" w:fill="EEECE1"/>
          </w:tcPr>
          <w:p w14:paraId="1DDDF4C2">
            <w:pPr>
              <w:jc w:val="center"/>
              <w:rPr>
                <w:rFonts w:ascii="宋体" w:hAnsi="宋体" w:eastAsia="宋体" w:cstheme="majorEastAsia"/>
                <w:sz w:val="24"/>
              </w:rPr>
            </w:pPr>
            <w:r>
              <w:rPr>
                <w:rFonts w:hint="eastAsia" w:ascii="宋体" w:hAnsi="宋体" w:eastAsia="宋体" w:cstheme="majorEastAsia"/>
                <w:b/>
                <w:sz w:val="24"/>
              </w:rPr>
              <w:t>采购预算（万元）</w:t>
            </w:r>
          </w:p>
        </w:tc>
      </w:tr>
      <w:tr w14:paraId="2D634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16" w:type="dxa"/>
            <w:tcBorders>
              <w:top w:val="nil"/>
              <w:left w:val="single" w:color="000000" w:sz="4" w:space="0"/>
              <w:bottom w:val="single" w:color="000000" w:sz="4" w:space="0"/>
              <w:right w:val="single" w:color="000000" w:sz="4" w:space="0"/>
            </w:tcBorders>
            <w:vAlign w:val="center"/>
          </w:tcPr>
          <w:p w14:paraId="54D57B60">
            <w:pPr>
              <w:jc w:val="center"/>
              <w:rPr>
                <w:rFonts w:ascii="宋体" w:hAnsi="宋体" w:eastAsia="宋体" w:cstheme="majorEastAsia"/>
                <w:sz w:val="24"/>
              </w:rPr>
            </w:pPr>
            <w:r>
              <w:rPr>
                <w:rFonts w:hint="eastAsia" w:ascii="宋体" w:hAnsi="宋体" w:eastAsia="宋体" w:cstheme="majorEastAsia"/>
                <w:sz w:val="24"/>
              </w:rPr>
              <w:t>湛江中心人民医院2024年非药肠内营养品采购及配送服务项目</w:t>
            </w:r>
          </w:p>
        </w:tc>
        <w:tc>
          <w:tcPr>
            <w:tcW w:w="1049" w:type="dxa"/>
            <w:tcBorders>
              <w:top w:val="nil"/>
              <w:left w:val="single" w:color="000000" w:sz="4" w:space="0"/>
              <w:bottom w:val="single" w:color="000000" w:sz="4" w:space="0"/>
              <w:right w:val="single" w:color="000000" w:sz="4" w:space="0"/>
            </w:tcBorders>
            <w:vAlign w:val="center"/>
          </w:tcPr>
          <w:p w14:paraId="7C262EAE">
            <w:pPr>
              <w:jc w:val="center"/>
              <w:rPr>
                <w:rFonts w:ascii="宋体" w:hAnsi="宋体" w:eastAsia="宋体" w:cstheme="majorEastAsia"/>
                <w:sz w:val="24"/>
              </w:rPr>
            </w:pPr>
            <w:r>
              <w:rPr>
                <w:rFonts w:hint="eastAsia" w:ascii="宋体" w:hAnsi="宋体" w:eastAsia="宋体" w:cstheme="majorEastAsia"/>
                <w:sz w:val="24"/>
              </w:rPr>
              <w:t>1项</w:t>
            </w:r>
          </w:p>
        </w:tc>
        <w:tc>
          <w:tcPr>
            <w:tcW w:w="2640" w:type="dxa"/>
            <w:tcBorders>
              <w:top w:val="nil"/>
              <w:left w:val="single" w:color="000000" w:sz="4" w:space="0"/>
              <w:bottom w:val="single" w:color="000000" w:sz="4" w:space="0"/>
              <w:right w:val="single" w:color="000000" w:sz="4" w:space="0"/>
            </w:tcBorders>
            <w:vAlign w:val="center"/>
          </w:tcPr>
          <w:p w14:paraId="77234B02">
            <w:pPr>
              <w:jc w:val="center"/>
              <w:rPr>
                <w:rFonts w:ascii="宋体" w:hAnsi="宋体" w:eastAsia="宋体" w:cstheme="majorEastAsia"/>
                <w:sz w:val="24"/>
              </w:rPr>
            </w:pPr>
            <w:r>
              <w:rPr>
                <w:rFonts w:ascii="宋体" w:hAnsi="宋体" w:eastAsia="宋体" w:cstheme="majorEastAsia"/>
                <w:sz w:val="24"/>
              </w:rPr>
              <w:t>15.3</w:t>
            </w:r>
          </w:p>
        </w:tc>
      </w:tr>
    </w:tbl>
    <w:p w14:paraId="5E55EAD2">
      <w:pPr>
        <w:spacing w:line="360" w:lineRule="exact"/>
        <w:ind w:firstLine="472" w:firstLineChars="196"/>
        <w:rPr>
          <w:rFonts w:ascii="宋体" w:hAnsi="宋体" w:eastAsia="宋体" w:cstheme="majorEastAsia"/>
          <w:sz w:val="24"/>
        </w:rPr>
      </w:pPr>
      <w:r>
        <w:rPr>
          <w:rFonts w:hint="eastAsia" w:ascii="宋体" w:hAnsi="宋体" w:eastAsia="宋体" w:cstheme="majorEastAsia"/>
          <w:b/>
          <w:sz w:val="24"/>
        </w:rPr>
        <w:t>三、项目采购内容及要求</w:t>
      </w:r>
    </w:p>
    <w:p w14:paraId="697EC908">
      <w:pPr>
        <w:spacing w:line="360" w:lineRule="exact"/>
        <w:ind w:firstLine="420"/>
        <w:rPr>
          <w:rFonts w:ascii="宋体" w:hAnsi="宋体" w:eastAsia="宋体" w:cstheme="majorEastAsia"/>
          <w:sz w:val="24"/>
        </w:rPr>
      </w:pPr>
      <w:r>
        <w:rPr>
          <w:rFonts w:hint="eastAsia" w:ascii="宋体" w:hAnsi="宋体" w:eastAsia="宋体" w:cstheme="majorEastAsia"/>
          <w:sz w:val="24"/>
        </w:rPr>
        <w:t>（一）项目概况与招标范围：</w:t>
      </w:r>
    </w:p>
    <w:p w14:paraId="5DD74278">
      <w:pPr>
        <w:pStyle w:val="2"/>
        <w:snapToGrid w:val="0"/>
        <w:spacing w:line="360" w:lineRule="auto"/>
        <w:ind w:firstLine="420" w:firstLineChars="200"/>
        <w:rPr>
          <w:rFonts w:ascii="宋体" w:hAnsi="宋体" w:eastAsia="宋体" w:cs="宋体"/>
          <w:b w:val="0"/>
          <w:szCs w:val="21"/>
        </w:rPr>
      </w:pPr>
      <w:r>
        <w:rPr>
          <w:rFonts w:hint="eastAsia" w:ascii="宋体" w:hAnsi="宋体" w:eastAsia="宋体" w:cs="宋体"/>
          <w:b w:val="0"/>
          <w:szCs w:val="21"/>
        </w:rPr>
        <w:t>1、为保障儿科用非药肠内营养品的正常供给，我院拟通过批量采购的方式，确定2024年非药肠内营养品采购及配送服务供货商。要求合格的投标人提供本采购需求所要求的产品及相关服务，具体要求详见采购需求。</w:t>
      </w:r>
    </w:p>
    <w:p w14:paraId="2390BF77">
      <w:pPr>
        <w:pStyle w:val="2"/>
        <w:snapToGrid w:val="0"/>
        <w:spacing w:line="360" w:lineRule="auto"/>
        <w:rPr>
          <w:rFonts w:ascii="宋体" w:hAnsi="宋体" w:eastAsia="宋体" w:cs="宋体"/>
          <w:b w:val="0"/>
          <w:szCs w:val="21"/>
        </w:rPr>
      </w:pPr>
      <w:r>
        <w:rPr>
          <w:rFonts w:hint="eastAsia" w:ascii="宋体" w:hAnsi="宋体" w:eastAsia="宋体" w:cs="宋体"/>
          <w:b w:val="0"/>
          <w:szCs w:val="21"/>
        </w:rPr>
        <w:t>★2、采购预算为预估算数，项目以实际采购数量作为最终结算依据。中标人资格确定后，采购人将根据实际情况向中标人采购其所需营养品，但采购人无法保证向中标人提供准确的采购数额，投标人应承担相应的风险。采购期限结束或采购累计金额达到采购包的采购预算时，合同终止（按先达到的为准）。</w:t>
      </w:r>
    </w:p>
    <w:p w14:paraId="7BC30411">
      <w:pPr>
        <w:pStyle w:val="2"/>
        <w:snapToGrid w:val="0"/>
        <w:spacing w:line="360" w:lineRule="auto"/>
        <w:rPr>
          <w:rFonts w:ascii="宋体" w:hAnsi="宋体" w:eastAsia="宋体" w:cs="宋体"/>
          <w:b w:val="0"/>
          <w:szCs w:val="21"/>
        </w:rPr>
      </w:pPr>
      <w:r>
        <w:rPr>
          <w:rFonts w:hint="eastAsia" w:ascii="宋体" w:hAnsi="宋体" w:eastAsia="宋体" w:cs="宋体"/>
          <w:b w:val="0"/>
          <w:szCs w:val="21"/>
        </w:rPr>
        <w:t>（二）报价说明</w:t>
      </w:r>
    </w:p>
    <w:p w14:paraId="25748C8C">
      <w:pPr>
        <w:pStyle w:val="2"/>
        <w:snapToGrid w:val="0"/>
        <w:spacing w:line="360" w:lineRule="auto"/>
        <w:ind w:firstLine="420" w:firstLineChars="200"/>
        <w:rPr>
          <w:rFonts w:ascii="宋体" w:hAnsi="宋体" w:eastAsia="宋体" w:cs="宋体"/>
          <w:b w:val="0"/>
          <w:szCs w:val="21"/>
        </w:rPr>
      </w:pPr>
      <w:r>
        <w:rPr>
          <w:rFonts w:hint="eastAsia" w:ascii="宋体" w:hAnsi="宋体" w:eastAsia="宋体" w:cs="宋体"/>
          <w:b w:val="0"/>
          <w:bCs/>
          <w:color w:val="000000"/>
          <w:szCs w:val="21"/>
        </w:rPr>
        <w:t>★</w:t>
      </w:r>
      <w:r>
        <w:rPr>
          <w:rFonts w:hint="eastAsia" w:ascii="宋体" w:hAnsi="宋体" w:eastAsia="宋体" w:cs="宋体"/>
          <w:b w:val="0"/>
          <w:szCs w:val="21"/>
        </w:rPr>
        <w:t>1、 本项目以下浮率进行报价，投标人根据采购清单中所有货物的最高单价限价填报一个统一的下浮率，下浮率必须为固定报价，不接受区间报价，下浮率报价范围：0%-100%，不能为负数，否则按无效投标处理。</w:t>
      </w:r>
    </w:p>
    <w:p w14:paraId="3E1FE95F">
      <w:pPr>
        <w:pStyle w:val="2"/>
        <w:snapToGrid w:val="0"/>
        <w:spacing w:line="360" w:lineRule="auto"/>
        <w:ind w:firstLine="420" w:firstLineChars="200"/>
        <w:rPr>
          <w:rFonts w:ascii="宋体" w:hAnsi="宋体" w:eastAsia="宋体" w:cs="宋体"/>
          <w:b w:val="0"/>
          <w:szCs w:val="21"/>
        </w:rPr>
      </w:pPr>
      <w:r>
        <w:rPr>
          <w:rFonts w:hint="eastAsia" w:ascii="宋体" w:hAnsi="宋体" w:eastAsia="宋体" w:cs="宋体"/>
          <w:b w:val="0"/>
          <w:szCs w:val="21"/>
        </w:rPr>
        <w:t>2、结算公式：结算价格＝最高单价限价×（1-中标下浮率）×实际供货数量【注：最高单价限价×（1-中标下浮率）得出的结果按四舍五入保留2位小数点】。</w:t>
      </w:r>
    </w:p>
    <w:p w14:paraId="093C029C">
      <w:pPr>
        <w:pStyle w:val="2"/>
        <w:snapToGrid w:val="0"/>
        <w:spacing w:line="360" w:lineRule="auto"/>
        <w:ind w:firstLine="420" w:firstLineChars="200"/>
        <w:rPr>
          <w:rFonts w:ascii="宋体" w:hAnsi="宋体" w:eastAsia="宋体" w:cs="宋体"/>
          <w:b w:val="0"/>
          <w:szCs w:val="21"/>
        </w:rPr>
      </w:pPr>
      <w:r>
        <w:rPr>
          <w:rFonts w:hint="eastAsia" w:ascii="宋体" w:hAnsi="宋体" w:eastAsia="宋体" w:cs="宋体"/>
          <w:b w:val="0"/>
          <w:szCs w:val="21"/>
        </w:rPr>
        <w:t>3、投标人报价应包括标的货物、相关附件、包装费、配送费、运输费、验收费、仓储费、质保及售后服务费、市场价格波动等引起的费用、保险费、加工费、各项税费及合同实施过程中不可预见费用等全部费用。投标报价为全包价，不得在中标价外加收任何费用。本次的投标下浮率在合同期内固定不变。</w:t>
      </w:r>
    </w:p>
    <w:p w14:paraId="1901F75C">
      <w:pPr>
        <w:pStyle w:val="2"/>
        <w:snapToGrid w:val="0"/>
        <w:spacing w:line="360" w:lineRule="auto"/>
        <w:ind w:firstLine="420" w:firstLineChars="200"/>
        <w:rPr>
          <w:rFonts w:ascii="宋体" w:hAnsi="宋体" w:eastAsia="宋体" w:cs="宋体"/>
          <w:b w:val="0"/>
          <w:szCs w:val="21"/>
        </w:rPr>
      </w:pPr>
      <w:r>
        <w:rPr>
          <w:rFonts w:hint="eastAsia" w:ascii="宋体" w:hAnsi="宋体" w:eastAsia="宋体" w:cs="宋体"/>
          <w:b w:val="0"/>
          <w:szCs w:val="21"/>
        </w:rPr>
        <w:t>4、如投标人在中标或履行合同过程中出现任何遗漏性内容需产生额外费用，均由中标人自行承担，采购人不再支付任何其他费用。中标人在实际供应过程中不得以任何理由调整价格（中标下浮率），投标人应充分考虑在采购周期内由于市场波动而引致的风险。</w:t>
      </w:r>
    </w:p>
    <w:p w14:paraId="7F80AC07">
      <w:pPr>
        <w:spacing w:line="360" w:lineRule="exact"/>
        <w:rPr>
          <w:rFonts w:ascii="宋体" w:hAnsi="宋体" w:eastAsia="宋体" w:cstheme="majorEastAsia"/>
          <w:sz w:val="24"/>
        </w:rPr>
      </w:pPr>
      <w:r>
        <w:rPr>
          <w:rFonts w:hint="eastAsia" w:ascii="宋体" w:hAnsi="宋体" w:eastAsia="宋体" w:cstheme="majorEastAsia"/>
          <w:sz w:val="24"/>
        </w:rPr>
        <w:t>（三）项目采购清单、技术规格及指标详见附表1。</w:t>
      </w:r>
    </w:p>
    <w:p w14:paraId="07025E12">
      <w:pPr>
        <w:spacing w:line="360" w:lineRule="exact"/>
        <w:ind w:firstLine="400"/>
        <w:rPr>
          <w:rFonts w:ascii="宋体" w:hAnsi="宋体" w:eastAsia="宋体" w:cstheme="majorEastAsia"/>
          <w:b/>
          <w:bCs/>
          <w:sz w:val="24"/>
        </w:rPr>
      </w:pPr>
    </w:p>
    <w:p w14:paraId="5648DCB7">
      <w:pPr>
        <w:spacing w:line="360" w:lineRule="exact"/>
        <w:ind w:firstLine="400"/>
        <w:rPr>
          <w:rFonts w:ascii="宋体" w:hAnsi="宋体" w:eastAsia="宋体" w:cstheme="majorEastAsia"/>
          <w:b/>
          <w:bCs/>
          <w:sz w:val="24"/>
        </w:rPr>
      </w:pPr>
      <w:r>
        <w:rPr>
          <w:rFonts w:hint="eastAsia" w:ascii="宋体" w:hAnsi="宋体" w:eastAsia="宋体" w:cstheme="majorEastAsia"/>
          <w:b/>
          <w:bCs/>
          <w:sz w:val="24"/>
        </w:rPr>
        <w:t>附表1</w:t>
      </w:r>
    </w:p>
    <w:p w14:paraId="009B7982">
      <w:pPr>
        <w:jc w:val="center"/>
        <w:rPr>
          <w:rFonts w:ascii="宋体" w:hAnsi="宋体" w:eastAsia="宋体" w:cstheme="majorEastAsia"/>
          <w:b/>
          <w:bCs/>
          <w:sz w:val="24"/>
        </w:rPr>
      </w:pPr>
    </w:p>
    <w:p w14:paraId="1B64E68E">
      <w:pPr>
        <w:jc w:val="center"/>
        <w:rPr>
          <w:rFonts w:ascii="宋体" w:hAnsi="宋体" w:eastAsia="宋体" w:cstheme="majorEastAsia"/>
          <w:b/>
          <w:bCs/>
          <w:sz w:val="24"/>
        </w:rPr>
      </w:pPr>
      <w:r>
        <w:rPr>
          <w:rFonts w:hint="eastAsia" w:ascii="宋体" w:hAnsi="宋体" w:eastAsia="宋体" w:cstheme="majorEastAsia"/>
          <w:b/>
          <w:bCs/>
          <w:sz w:val="24"/>
        </w:rPr>
        <w:t>各品种非药肠内营养品的参数要求、产品规格、单价最高限价</w:t>
      </w:r>
    </w:p>
    <w:p w14:paraId="70987336">
      <w:pPr>
        <w:rPr>
          <w:rFonts w:ascii="宋体" w:hAnsi="宋体" w:eastAsia="宋体" w:cstheme="majorEastAsia"/>
          <w:b/>
          <w:bCs/>
          <w:sz w:val="24"/>
        </w:rPr>
      </w:pPr>
    </w:p>
    <w:tbl>
      <w:tblPr>
        <w:tblStyle w:val="7"/>
        <w:tblW w:w="1020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6"/>
        <w:gridCol w:w="936"/>
        <w:gridCol w:w="822"/>
        <w:gridCol w:w="2516"/>
        <w:gridCol w:w="1288"/>
        <w:gridCol w:w="1013"/>
        <w:gridCol w:w="884"/>
        <w:gridCol w:w="1103"/>
      </w:tblGrid>
      <w:tr w14:paraId="027E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9" w:type="dxa"/>
            <w:shd w:val="clear" w:color="auto" w:fill="auto"/>
            <w:vAlign w:val="center"/>
          </w:tcPr>
          <w:p w14:paraId="19A28690">
            <w:pPr>
              <w:widowControl/>
              <w:jc w:val="center"/>
              <w:rPr>
                <w:rFonts w:ascii="宋体" w:hAnsi="宋体" w:eastAsia="宋体" w:cs="Arial"/>
                <w:b/>
                <w:bCs/>
                <w:kern w:val="0"/>
                <w:sz w:val="24"/>
              </w:rPr>
            </w:pPr>
            <w:r>
              <w:rPr>
                <w:rFonts w:hint="eastAsia" w:ascii="宋体" w:hAnsi="宋体" w:eastAsia="宋体" w:cs="Arial"/>
                <w:b/>
                <w:bCs/>
                <w:kern w:val="0"/>
                <w:sz w:val="24"/>
              </w:rPr>
              <w:t>食品序号</w:t>
            </w:r>
          </w:p>
        </w:tc>
        <w:tc>
          <w:tcPr>
            <w:tcW w:w="936" w:type="dxa"/>
            <w:shd w:val="clear" w:color="auto" w:fill="auto"/>
            <w:vAlign w:val="center"/>
          </w:tcPr>
          <w:p w14:paraId="68DC53C6">
            <w:pPr>
              <w:widowControl/>
              <w:jc w:val="center"/>
              <w:rPr>
                <w:rFonts w:ascii="宋体" w:hAnsi="宋体" w:eastAsia="宋体" w:cs="Arial"/>
                <w:b/>
                <w:bCs/>
                <w:kern w:val="0"/>
                <w:sz w:val="24"/>
              </w:rPr>
            </w:pPr>
            <w:r>
              <w:rPr>
                <w:rFonts w:hint="eastAsia" w:ascii="宋体" w:hAnsi="宋体" w:eastAsia="宋体" w:cs="Arial"/>
                <w:b/>
                <w:bCs/>
                <w:kern w:val="0"/>
                <w:sz w:val="24"/>
              </w:rPr>
              <w:t>产品大类</w:t>
            </w:r>
          </w:p>
        </w:tc>
        <w:tc>
          <w:tcPr>
            <w:tcW w:w="936" w:type="dxa"/>
            <w:shd w:val="clear" w:color="auto" w:fill="auto"/>
            <w:vAlign w:val="center"/>
          </w:tcPr>
          <w:p w14:paraId="2657D69A">
            <w:pPr>
              <w:widowControl/>
              <w:jc w:val="center"/>
              <w:rPr>
                <w:rFonts w:ascii="宋体" w:hAnsi="宋体" w:eastAsia="宋体" w:cs="Arial"/>
                <w:b/>
                <w:bCs/>
                <w:kern w:val="0"/>
                <w:sz w:val="24"/>
              </w:rPr>
            </w:pPr>
            <w:r>
              <w:rPr>
                <w:rFonts w:hint="eastAsia" w:ascii="宋体" w:hAnsi="宋体" w:eastAsia="宋体" w:cs="Arial"/>
                <w:b/>
                <w:bCs/>
                <w:kern w:val="0"/>
                <w:sz w:val="24"/>
              </w:rPr>
              <w:t>产品</w:t>
            </w:r>
            <w:r>
              <w:rPr>
                <w:rFonts w:hint="eastAsia" w:ascii="宋体" w:hAnsi="宋体" w:eastAsia="宋体" w:cs="Arial"/>
                <w:b/>
                <w:bCs/>
                <w:kern w:val="0"/>
                <w:sz w:val="24"/>
              </w:rPr>
              <w:br w:type="textWrapping"/>
            </w:r>
            <w:r>
              <w:rPr>
                <w:rFonts w:hint="eastAsia" w:ascii="宋体" w:hAnsi="宋体" w:eastAsia="宋体" w:cs="Arial"/>
                <w:b/>
                <w:bCs/>
                <w:kern w:val="0"/>
                <w:sz w:val="24"/>
              </w:rPr>
              <w:t>类别</w:t>
            </w:r>
          </w:p>
        </w:tc>
        <w:tc>
          <w:tcPr>
            <w:tcW w:w="822" w:type="dxa"/>
            <w:shd w:val="clear" w:color="auto" w:fill="auto"/>
            <w:vAlign w:val="center"/>
          </w:tcPr>
          <w:p w14:paraId="72CF6D15">
            <w:pPr>
              <w:widowControl/>
              <w:jc w:val="center"/>
              <w:rPr>
                <w:rFonts w:ascii="宋体" w:hAnsi="宋体" w:eastAsia="宋体" w:cs="Arial"/>
                <w:b/>
                <w:bCs/>
                <w:kern w:val="0"/>
                <w:sz w:val="24"/>
              </w:rPr>
            </w:pPr>
            <w:r>
              <w:rPr>
                <w:rFonts w:hint="eastAsia" w:ascii="宋体" w:hAnsi="宋体" w:eastAsia="宋体" w:cs="Arial"/>
                <w:b/>
                <w:bCs/>
                <w:kern w:val="0"/>
                <w:sz w:val="24"/>
              </w:rPr>
              <w:t>产品剂型</w:t>
            </w:r>
          </w:p>
        </w:tc>
        <w:tc>
          <w:tcPr>
            <w:tcW w:w="2516" w:type="dxa"/>
            <w:shd w:val="clear" w:color="auto" w:fill="auto"/>
            <w:vAlign w:val="center"/>
          </w:tcPr>
          <w:p w14:paraId="560F1F0C">
            <w:pPr>
              <w:widowControl/>
              <w:jc w:val="center"/>
              <w:rPr>
                <w:rFonts w:ascii="宋体" w:hAnsi="宋体" w:eastAsia="宋体" w:cs="Arial"/>
                <w:b/>
                <w:bCs/>
                <w:kern w:val="0"/>
                <w:sz w:val="24"/>
              </w:rPr>
            </w:pPr>
            <w:r>
              <w:rPr>
                <w:rFonts w:hint="eastAsia" w:ascii="宋体" w:hAnsi="宋体" w:eastAsia="宋体" w:cs="Arial"/>
                <w:b/>
                <w:bCs/>
                <w:kern w:val="0"/>
                <w:sz w:val="24"/>
              </w:rPr>
              <w:t>产品参数</w:t>
            </w:r>
          </w:p>
        </w:tc>
        <w:tc>
          <w:tcPr>
            <w:tcW w:w="1288" w:type="dxa"/>
            <w:shd w:val="clear" w:color="auto" w:fill="auto"/>
            <w:vAlign w:val="center"/>
          </w:tcPr>
          <w:p w14:paraId="753C2FDE">
            <w:pPr>
              <w:widowControl/>
              <w:jc w:val="center"/>
              <w:rPr>
                <w:rFonts w:ascii="宋体" w:hAnsi="宋体" w:eastAsia="宋体" w:cs="Arial"/>
                <w:b/>
                <w:bCs/>
                <w:kern w:val="0"/>
                <w:sz w:val="24"/>
              </w:rPr>
            </w:pPr>
            <w:r>
              <w:rPr>
                <w:rFonts w:hint="eastAsia" w:ascii="宋体" w:hAnsi="宋体" w:eastAsia="宋体" w:cs="Arial"/>
                <w:b/>
                <w:bCs/>
                <w:kern w:val="0"/>
                <w:sz w:val="24"/>
              </w:rPr>
              <w:t>特医要求</w:t>
            </w:r>
          </w:p>
          <w:p w14:paraId="0770647C">
            <w:pPr>
              <w:widowControl/>
              <w:jc w:val="center"/>
              <w:rPr>
                <w:rFonts w:ascii="宋体" w:hAnsi="宋体" w:eastAsia="宋体" w:cs="Arial"/>
                <w:b/>
                <w:bCs/>
                <w:kern w:val="0"/>
                <w:sz w:val="24"/>
              </w:rPr>
            </w:pPr>
            <w:r>
              <w:rPr>
                <w:rFonts w:hint="eastAsia" w:ascii="宋体" w:hAnsi="宋体" w:eastAsia="宋体" w:cstheme="majorEastAsia"/>
                <w:b/>
                <w:sz w:val="24"/>
              </w:rPr>
              <w:t>▲（“是”特医要求的，投标人须提供有效期内的《特殊医学用途配方食品注册证书》）</w:t>
            </w:r>
          </w:p>
        </w:tc>
        <w:tc>
          <w:tcPr>
            <w:tcW w:w="1013" w:type="dxa"/>
            <w:shd w:val="clear" w:color="auto" w:fill="auto"/>
            <w:vAlign w:val="center"/>
          </w:tcPr>
          <w:p w14:paraId="492CC489">
            <w:pPr>
              <w:widowControl/>
              <w:jc w:val="center"/>
              <w:rPr>
                <w:rFonts w:ascii="宋体" w:hAnsi="宋体" w:eastAsia="宋体" w:cs="Arial"/>
                <w:b/>
                <w:bCs/>
                <w:kern w:val="0"/>
                <w:sz w:val="24"/>
              </w:rPr>
            </w:pPr>
            <w:r>
              <w:rPr>
                <w:rFonts w:hint="eastAsia" w:ascii="宋体" w:hAnsi="宋体" w:eastAsia="宋体" w:cs="Arial"/>
                <w:b/>
                <w:bCs/>
                <w:kern w:val="0"/>
                <w:sz w:val="24"/>
              </w:rPr>
              <w:t>规格及包装</w:t>
            </w:r>
          </w:p>
        </w:tc>
        <w:tc>
          <w:tcPr>
            <w:tcW w:w="884" w:type="dxa"/>
            <w:shd w:val="clear" w:color="auto" w:fill="auto"/>
            <w:vAlign w:val="center"/>
          </w:tcPr>
          <w:p w14:paraId="74E80CCA">
            <w:pPr>
              <w:widowControl/>
              <w:jc w:val="center"/>
              <w:rPr>
                <w:rFonts w:ascii="宋体" w:hAnsi="宋体" w:eastAsia="宋体" w:cs="Arial"/>
                <w:b/>
                <w:bCs/>
                <w:kern w:val="0"/>
                <w:sz w:val="24"/>
              </w:rPr>
            </w:pPr>
            <w:r>
              <w:rPr>
                <w:rFonts w:hint="eastAsia" w:ascii="宋体" w:hAnsi="宋体" w:eastAsia="宋体" w:cs="Arial"/>
                <w:b/>
                <w:bCs/>
                <w:kern w:val="0"/>
                <w:sz w:val="24"/>
              </w:rPr>
              <w:t>计量单位</w:t>
            </w:r>
          </w:p>
        </w:tc>
        <w:tc>
          <w:tcPr>
            <w:tcW w:w="1103" w:type="dxa"/>
            <w:shd w:val="clear" w:color="auto" w:fill="auto"/>
            <w:vAlign w:val="center"/>
          </w:tcPr>
          <w:p w14:paraId="77B2CC8E">
            <w:pPr>
              <w:widowControl/>
              <w:jc w:val="center"/>
              <w:rPr>
                <w:rFonts w:ascii="宋体" w:hAnsi="宋体" w:eastAsia="宋体" w:cs="Arial"/>
                <w:b/>
                <w:bCs/>
                <w:kern w:val="0"/>
                <w:sz w:val="24"/>
              </w:rPr>
            </w:pPr>
            <w:r>
              <w:rPr>
                <w:rFonts w:hint="eastAsia" w:ascii="宋体" w:hAnsi="宋体" w:eastAsia="宋体" w:cs="Arial"/>
                <w:b/>
                <w:bCs/>
                <w:kern w:val="0"/>
                <w:sz w:val="24"/>
              </w:rPr>
              <w:t>单价</w:t>
            </w:r>
            <w:r>
              <w:rPr>
                <w:rFonts w:hint="eastAsia" w:ascii="宋体" w:hAnsi="宋体" w:eastAsia="宋体" w:cs="Arial"/>
                <w:b/>
                <w:bCs/>
                <w:kern w:val="0"/>
                <w:sz w:val="24"/>
              </w:rPr>
              <w:br w:type="textWrapping"/>
            </w:r>
            <w:r>
              <w:rPr>
                <w:rFonts w:hint="eastAsia" w:ascii="宋体" w:hAnsi="宋体" w:eastAsia="宋体" w:cs="Arial"/>
                <w:b/>
                <w:bCs/>
                <w:kern w:val="0"/>
                <w:sz w:val="24"/>
              </w:rPr>
              <w:t>最高限价</w:t>
            </w:r>
            <w:r>
              <w:rPr>
                <w:rFonts w:hint="eastAsia" w:ascii="宋体" w:hAnsi="宋体" w:eastAsia="宋体" w:cs="Arial"/>
                <w:b/>
                <w:bCs/>
                <w:kern w:val="0"/>
                <w:sz w:val="24"/>
              </w:rPr>
              <w:br w:type="textWrapping"/>
            </w:r>
            <w:r>
              <w:rPr>
                <w:rFonts w:hint="eastAsia" w:ascii="宋体" w:hAnsi="宋体" w:eastAsia="宋体" w:cs="Arial"/>
                <w:b/>
                <w:bCs/>
                <w:kern w:val="0"/>
                <w:sz w:val="24"/>
              </w:rPr>
              <w:t>（元）</w:t>
            </w:r>
          </w:p>
        </w:tc>
      </w:tr>
      <w:tr w14:paraId="6DC8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0222AAF9">
            <w:pPr>
              <w:jc w:val="center"/>
              <w:rPr>
                <w:rFonts w:ascii="宋体" w:hAnsi="宋体" w:cs="宋体"/>
              </w:rPr>
            </w:pPr>
            <w:r>
              <w:rPr>
                <w:rFonts w:hint="eastAsia"/>
              </w:rPr>
              <w:t>0</w:t>
            </w:r>
            <w:r>
              <w:t>1</w:t>
            </w:r>
          </w:p>
        </w:tc>
        <w:tc>
          <w:tcPr>
            <w:tcW w:w="936" w:type="dxa"/>
            <w:shd w:val="clear" w:color="auto" w:fill="auto"/>
            <w:vAlign w:val="center"/>
          </w:tcPr>
          <w:p w14:paraId="18D20A6B">
            <w:pPr>
              <w:jc w:val="center"/>
              <w:rPr>
                <w:color w:val="000000"/>
              </w:rPr>
            </w:pPr>
            <w:r>
              <w:rPr>
                <w:rFonts w:hint="eastAsia"/>
                <w:color w:val="000000"/>
              </w:rPr>
              <w:t>全营养</w:t>
            </w:r>
          </w:p>
        </w:tc>
        <w:tc>
          <w:tcPr>
            <w:tcW w:w="936" w:type="dxa"/>
            <w:shd w:val="clear" w:color="auto" w:fill="auto"/>
            <w:vAlign w:val="center"/>
          </w:tcPr>
          <w:p w14:paraId="6EAAEBD9">
            <w:pPr>
              <w:jc w:val="center"/>
              <w:rPr>
                <w:color w:val="000000"/>
              </w:rPr>
            </w:pPr>
            <w:r>
              <w:rPr>
                <w:rFonts w:hint="eastAsia"/>
                <w:color w:val="000000"/>
              </w:rPr>
              <w:t>（早产儿体重1.8公斤以下/低出生儿体重）</w:t>
            </w:r>
          </w:p>
        </w:tc>
        <w:tc>
          <w:tcPr>
            <w:tcW w:w="822" w:type="dxa"/>
            <w:shd w:val="clear" w:color="auto" w:fill="auto"/>
            <w:vAlign w:val="center"/>
          </w:tcPr>
          <w:p w14:paraId="3F7177A9">
            <w:pPr>
              <w:jc w:val="center"/>
              <w:rPr>
                <w:color w:val="000000"/>
              </w:rPr>
            </w:pPr>
            <w:r>
              <w:rPr>
                <w:rFonts w:hint="eastAsia"/>
                <w:color w:val="000000"/>
              </w:rPr>
              <w:t>粉剂</w:t>
            </w:r>
          </w:p>
        </w:tc>
        <w:tc>
          <w:tcPr>
            <w:tcW w:w="2516" w:type="dxa"/>
            <w:shd w:val="clear" w:color="auto" w:fill="auto"/>
            <w:vAlign w:val="center"/>
          </w:tcPr>
          <w:p w14:paraId="7E159439">
            <w:pPr>
              <w:jc w:val="center"/>
              <w:rPr>
                <w:color w:val="000000"/>
                <w:sz w:val="20"/>
                <w:szCs w:val="20"/>
              </w:rPr>
            </w:pPr>
            <w:r>
              <w:rPr>
                <w:rFonts w:hint="eastAsia"/>
                <w:color w:val="000000"/>
                <w:sz w:val="20"/>
                <w:szCs w:val="20"/>
              </w:rPr>
              <w:t>1、MCT30%，</w:t>
            </w:r>
            <w:r>
              <w:rPr>
                <w:rFonts w:hint="eastAsia"/>
                <w:color w:val="000000"/>
                <w:sz w:val="20"/>
                <w:szCs w:val="20"/>
              </w:rPr>
              <w:br w:type="textWrapping"/>
            </w:r>
            <w:r>
              <w:rPr>
                <w:rFonts w:hint="eastAsia"/>
                <w:color w:val="000000"/>
                <w:sz w:val="20"/>
                <w:szCs w:val="20"/>
              </w:rPr>
              <w:t>2、能量密度大于等于80Kcal/100ml，</w:t>
            </w:r>
            <w:r>
              <w:rPr>
                <w:rFonts w:hint="eastAsia"/>
                <w:color w:val="000000"/>
                <w:sz w:val="20"/>
                <w:szCs w:val="20"/>
              </w:rPr>
              <w:br w:type="textWrapping"/>
            </w:r>
            <w:r>
              <w:rPr>
                <w:rFonts w:hint="eastAsia"/>
                <w:color w:val="000000"/>
                <w:sz w:val="20"/>
                <w:szCs w:val="20"/>
              </w:rPr>
              <w:t>0-6月龄</w:t>
            </w:r>
          </w:p>
        </w:tc>
        <w:tc>
          <w:tcPr>
            <w:tcW w:w="1288" w:type="dxa"/>
            <w:shd w:val="clear" w:color="auto" w:fill="auto"/>
            <w:vAlign w:val="center"/>
          </w:tcPr>
          <w:p w14:paraId="54D4BEEC">
            <w:pPr>
              <w:jc w:val="center"/>
              <w:rPr>
                <w:color w:val="000000"/>
                <w:sz w:val="24"/>
              </w:rPr>
            </w:pPr>
            <w:r>
              <w:rPr>
                <w:rFonts w:hint="eastAsia"/>
                <w:color w:val="000000"/>
              </w:rPr>
              <w:t>是</w:t>
            </w:r>
          </w:p>
        </w:tc>
        <w:tc>
          <w:tcPr>
            <w:tcW w:w="1013" w:type="dxa"/>
            <w:shd w:val="clear" w:color="auto" w:fill="auto"/>
            <w:vAlign w:val="center"/>
          </w:tcPr>
          <w:p w14:paraId="21B96594">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13F50B62">
            <w:pPr>
              <w:jc w:val="center"/>
              <w:rPr>
                <w:color w:val="000000"/>
              </w:rPr>
            </w:pPr>
            <w:r>
              <w:rPr>
                <w:rFonts w:hint="eastAsia" w:cs="Calibri"/>
                <w:color w:val="000000"/>
              </w:rPr>
              <w:t>罐</w:t>
            </w:r>
          </w:p>
        </w:tc>
        <w:tc>
          <w:tcPr>
            <w:tcW w:w="1103" w:type="dxa"/>
            <w:shd w:val="clear" w:color="auto" w:fill="auto"/>
            <w:vAlign w:val="center"/>
          </w:tcPr>
          <w:p w14:paraId="6BCBF204">
            <w:pPr>
              <w:jc w:val="center"/>
              <w:rPr>
                <w:color w:val="000000"/>
              </w:rPr>
            </w:pPr>
            <w:r>
              <w:rPr>
                <w:rFonts w:hint="eastAsia"/>
                <w:color w:val="000000"/>
              </w:rPr>
              <w:t>168</w:t>
            </w:r>
          </w:p>
        </w:tc>
      </w:tr>
      <w:tr w14:paraId="6C58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09" w:type="dxa"/>
            <w:shd w:val="clear" w:color="auto" w:fill="auto"/>
            <w:noWrap/>
            <w:vAlign w:val="center"/>
          </w:tcPr>
          <w:p w14:paraId="72A4511A">
            <w:pPr>
              <w:jc w:val="center"/>
              <w:rPr>
                <w:rFonts w:ascii="宋体" w:hAnsi="宋体" w:cs="宋体"/>
              </w:rPr>
            </w:pPr>
            <w:r>
              <w:rPr>
                <w:rFonts w:hint="eastAsia"/>
              </w:rPr>
              <w:t>0</w:t>
            </w:r>
            <w:r>
              <w:t>2</w:t>
            </w:r>
          </w:p>
        </w:tc>
        <w:tc>
          <w:tcPr>
            <w:tcW w:w="936" w:type="dxa"/>
            <w:shd w:val="clear" w:color="auto" w:fill="auto"/>
            <w:vAlign w:val="center"/>
          </w:tcPr>
          <w:p w14:paraId="7EC2DC85">
            <w:pPr>
              <w:jc w:val="center"/>
              <w:rPr>
                <w:color w:val="000000"/>
              </w:rPr>
            </w:pPr>
            <w:r>
              <w:rPr>
                <w:rFonts w:hint="eastAsia"/>
                <w:color w:val="000000"/>
              </w:rPr>
              <w:t>全营养</w:t>
            </w:r>
          </w:p>
        </w:tc>
        <w:tc>
          <w:tcPr>
            <w:tcW w:w="936" w:type="dxa"/>
            <w:shd w:val="clear" w:color="auto" w:fill="auto"/>
            <w:vAlign w:val="center"/>
          </w:tcPr>
          <w:p w14:paraId="64D9B955">
            <w:pPr>
              <w:jc w:val="center"/>
              <w:rPr>
                <w:color w:val="000000"/>
              </w:rPr>
            </w:pPr>
            <w:r>
              <w:rPr>
                <w:rFonts w:hint="eastAsia"/>
                <w:color w:val="000000"/>
              </w:rPr>
              <w:t>体重1.8kg以上早产/低出生体重儿</w:t>
            </w:r>
          </w:p>
        </w:tc>
        <w:tc>
          <w:tcPr>
            <w:tcW w:w="822" w:type="dxa"/>
            <w:shd w:val="clear" w:color="auto" w:fill="auto"/>
            <w:vAlign w:val="center"/>
          </w:tcPr>
          <w:p w14:paraId="4F20D213">
            <w:pPr>
              <w:jc w:val="center"/>
              <w:rPr>
                <w:color w:val="000000"/>
              </w:rPr>
            </w:pPr>
            <w:r>
              <w:rPr>
                <w:rFonts w:hint="eastAsia"/>
                <w:color w:val="000000"/>
              </w:rPr>
              <w:t>粉剂</w:t>
            </w:r>
          </w:p>
        </w:tc>
        <w:tc>
          <w:tcPr>
            <w:tcW w:w="2516" w:type="dxa"/>
            <w:shd w:val="clear" w:color="auto" w:fill="auto"/>
            <w:vAlign w:val="center"/>
          </w:tcPr>
          <w:p w14:paraId="4B5BA337">
            <w:pPr>
              <w:jc w:val="center"/>
              <w:rPr>
                <w:color w:val="000000"/>
                <w:sz w:val="20"/>
                <w:szCs w:val="20"/>
              </w:rPr>
            </w:pPr>
            <w:r>
              <w:rPr>
                <w:rFonts w:hint="eastAsia"/>
                <w:color w:val="000000"/>
                <w:sz w:val="20"/>
                <w:szCs w:val="20"/>
              </w:rPr>
              <w:t>100%部分水解乳清蛋白0-6月龄</w:t>
            </w:r>
          </w:p>
        </w:tc>
        <w:tc>
          <w:tcPr>
            <w:tcW w:w="1288" w:type="dxa"/>
            <w:shd w:val="clear" w:color="auto" w:fill="auto"/>
            <w:vAlign w:val="center"/>
          </w:tcPr>
          <w:p w14:paraId="57C93D06">
            <w:pPr>
              <w:jc w:val="center"/>
              <w:rPr>
                <w:color w:val="000000"/>
                <w:sz w:val="24"/>
              </w:rPr>
            </w:pPr>
            <w:r>
              <w:rPr>
                <w:rFonts w:hint="eastAsia"/>
                <w:color w:val="000000"/>
              </w:rPr>
              <w:t>是</w:t>
            </w:r>
          </w:p>
        </w:tc>
        <w:tc>
          <w:tcPr>
            <w:tcW w:w="1013" w:type="dxa"/>
            <w:shd w:val="clear" w:color="auto" w:fill="auto"/>
            <w:vAlign w:val="center"/>
          </w:tcPr>
          <w:p w14:paraId="6B86EDBC">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44B1FB6A">
            <w:pPr>
              <w:jc w:val="center"/>
              <w:rPr>
                <w:color w:val="000000"/>
              </w:rPr>
            </w:pPr>
            <w:r>
              <w:rPr>
                <w:rFonts w:hint="eastAsia" w:cs="Calibri"/>
                <w:color w:val="000000"/>
              </w:rPr>
              <w:t>罐</w:t>
            </w:r>
          </w:p>
        </w:tc>
        <w:tc>
          <w:tcPr>
            <w:tcW w:w="1103" w:type="dxa"/>
            <w:shd w:val="clear" w:color="auto" w:fill="auto"/>
            <w:vAlign w:val="center"/>
          </w:tcPr>
          <w:p w14:paraId="21380A5B">
            <w:pPr>
              <w:jc w:val="center"/>
              <w:rPr>
                <w:color w:val="000000"/>
              </w:rPr>
            </w:pPr>
            <w:r>
              <w:rPr>
                <w:rFonts w:hint="eastAsia"/>
                <w:color w:val="000000"/>
              </w:rPr>
              <w:t>195</w:t>
            </w:r>
          </w:p>
        </w:tc>
      </w:tr>
      <w:tr w14:paraId="5EE7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57B24E03">
            <w:pPr>
              <w:jc w:val="center"/>
              <w:rPr>
                <w:rFonts w:ascii="宋体" w:hAnsi="宋体" w:cs="宋体"/>
              </w:rPr>
            </w:pPr>
            <w:r>
              <w:rPr>
                <w:rFonts w:hint="eastAsia"/>
              </w:rPr>
              <w:t>0</w:t>
            </w:r>
            <w:r>
              <w:t>3</w:t>
            </w:r>
          </w:p>
        </w:tc>
        <w:tc>
          <w:tcPr>
            <w:tcW w:w="936" w:type="dxa"/>
            <w:shd w:val="clear" w:color="auto" w:fill="auto"/>
            <w:vAlign w:val="center"/>
          </w:tcPr>
          <w:p w14:paraId="1984A4B3">
            <w:pPr>
              <w:jc w:val="center"/>
              <w:rPr>
                <w:color w:val="000000"/>
              </w:rPr>
            </w:pPr>
            <w:r>
              <w:rPr>
                <w:rFonts w:hint="eastAsia"/>
                <w:color w:val="000000"/>
              </w:rPr>
              <w:t>全营养</w:t>
            </w:r>
          </w:p>
        </w:tc>
        <w:tc>
          <w:tcPr>
            <w:tcW w:w="936" w:type="dxa"/>
            <w:shd w:val="clear" w:color="auto" w:fill="auto"/>
            <w:vAlign w:val="center"/>
          </w:tcPr>
          <w:p w14:paraId="533E2DE0">
            <w:pPr>
              <w:jc w:val="center"/>
              <w:rPr>
                <w:color w:val="000000"/>
              </w:rPr>
            </w:pPr>
            <w:r>
              <w:rPr>
                <w:rFonts w:hint="eastAsia"/>
                <w:color w:val="000000"/>
              </w:rPr>
              <w:t>氨基酸配方</w:t>
            </w:r>
          </w:p>
        </w:tc>
        <w:tc>
          <w:tcPr>
            <w:tcW w:w="822" w:type="dxa"/>
            <w:shd w:val="clear" w:color="auto" w:fill="auto"/>
            <w:vAlign w:val="center"/>
          </w:tcPr>
          <w:p w14:paraId="5CAA20DB">
            <w:pPr>
              <w:jc w:val="center"/>
              <w:rPr>
                <w:color w:val="000000"/>
              </w:rPr>
            </w:pPr>
            <w:r>
              <w:rPr>
                <w:rFonts w:hint="eastAsia"/>
                <w:color w:val="000000"/>
              </w:rPr>
              <w:t>粉剂</w:t>
            </w:r>
          </w:p>
        </w:tc>
        <w:tc>
          <w:tcPr>
            <w:tcW w:w="2516" w:type="dxa"/>
            <w:shd w:val="clear" w:color="auto" w:fill="auto"/>
            <w:vAlign w:val="center"/>
          </w:tcPr>
          <w:p w14:paraId="48BD18EB">
            <w:pPr>
              <w:jc w:val="center"/>
              <w:rPr>
                <w:color w:val="000000"/>
                <w:sz w:val="20"/>
                <w:szCs w:val="20"/>
              </w:rPr>
            </w:pPr>
            <w:r>
              <w:rPr>
                <w:rFonts w:hint="eastAsia"/>
                <w:color w:val="000000"/>
                <w:sz w:val="20"/>
                <w:szCs w:val="20"/>
              </w:rPr>
              <w:t>100%游离氨基酸0-12月龄</w:t>
            </w:r>
          </w:p>
        </w:tc>
        <w:tc>
          <w:tcPr>
            <w:tcW w:w="1288" w:type="dxa"/>
            <w:shd w:val="clear" w:color="auto" w:fill="auto"/>
            <w:vAlign w:val="center"/>
          </w:tcPr>
          <w:p w14:paraId="69EE8D89">
            <w:pPr>
              <w:jc w:val="center"/>
              <w:rPr>
                <w:color w:val="000000"/>
                <w:sz w:val="24"/>
              </w:rPr>
            </w:pPr>
            <w:r>
              <w:rPr>
                <w:rFonts w:hint="eastAsia"/>
                <w:color w:val="000000"/>
              </w:rPr>
              <w:t>是</w:t>
            </w:r>
          </w:p>
        </w:tc>
        <w:tc>
          <w:tcPr>
            <w:tcW w:w="1013" w:type="dxa"/>
            <w:shd w:val="clear" w:color="auto" w:fill="auto"/>
            <w:vAlign w:val="center"/>
          </w:tcPr>
          <w:p w14:paraId="1337A10B">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0E10465E">
            <w:pPr>
              <w:jc w:val="center"/>
              <w:rPr>
                <w:color w:val="000000"/>
              </w:rPr>
            </w:pPr>
            <w:r>
              <w:rPr>
                <w:rFonts w:hint="eastAsia" w:cs="Calibri"/>
                <w:color w:val="000000"/>
              </w:rPr>
              <w:t>罐</w:t>
            </w:r>
          </w:p>
        </w:tc>
        <w:tc>
          <w:tcPr>
            <w:tcW w:w="1103" w:type="dxa"/>
            <w:shd w:val="clear" w:color="auto" w:fill="auto"/>
            <w:vAlign w:val="center"/>
          </w:tcPr>
          <w:p w14:paraId="2EA9DFD3">
            <w:pPr>
              <w:jc w:val="center"/>
              <w:rPr>
                <w:color w:val="000000"/>
              </w:rPr>
            </w:pPr>
            <w:r>
              <w:rPr>
                <w:rFonts w:hint="eastAsia"/>
                <w:color w:val="000000"/>
              </w:rPr>
              <w:t>414.8</w:t>
            </w:r>
          </w:p>
        </w:tc>
      </w:tr>
      <w:tr w14:paraId="7D5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9" w:type="dxa"/>
            <w:shd w:val="clear" w:color="auto" w:fill="auto"/>
            <w:noWrap/>
            <w:vAlign w:val="center"/>
          </w:tcPr>
          <w:p w14:paraId="66D5791B">
            <w:pPr>
              <w:jc w:val="center"/>
              <w:rPr>
                <w:rFonts w:ascii="宋体" w:hAnsi="宋体" w:cs="宋体"/>
              </w:rPr>
            </w:pPr>
            <w:r>
              <w:rPr>
                <w:rFonts w:hint="eastAsia"/>
              </w:rPr>
              <w:t>0</w:t>
            </w:r>
            <w:r>
              <w:t>4</w:t>
            </w:r>
          </w:p>
        </w:tc>
        <w:tc>
          <w:tcPr>
            <w:tcW w:w="936" w:type="dxa"/>
            <w:shd w:val="clear" w:color="auto" w:fill="auto"/>
            <w:vAlign w:val="center"/>
          </w:tcPr>
          <w:p w14:paraId="1A3B8FCC">
            <w:pPr>
              <w:jc w:val="center"/>
              <w:rPr>
                <w:color w:val="000000"/>
              </w:rPr>
            </w:pPr>
            <w:r>
              <w:rPr>
                <w:rFonts w:hint="eastAsia"/>
                <w:color w:val="000000"/>
              </w:rPr>
              <w:t>全营养</w:t>
            </w:r>
          </w:p>
        </w:tc>
        <w:tc>
          <w:tcPr>
            <w:tcW w:w="936" w:type="dxa"/>
            <w:shd w:val="clear" w:color="auto" w:fill="auto"/>
            <w:vAlign w:val="center"/>
          </w:tcPr>
          <w:p w14:paraId="3701177E">
            <w:pPr>
              <w:jc w:val="center"/>
              <w:rPr>
                <w:color w:val="000000"/>
              </w:rPr>
            </w:pPr>
            <w:r>
              <w:rPr>
                <w:rFonts w:hint="eastAsia"/>
                <w:color w:val="000000"/>
              </w:rPr>
              <w:t>深度水解无乳糖</w:t>
            </w:r>
          </w:p>
        </w:tc>
        <w:tc>
          <w:tcPr>
            <w:tcW w:w="822" w:type="dxa"/>
            <w:shd w:val="clear" w:color="auto" w:fill="auto"/>
            <w:vAlign w:val="center"/>
          </w:tcPr>
          <w:p w14:paraId="19BD0D20">
            <w:pPr>
              <w:jc w:val="center"/>
              <w:rPr>
                <w:color w:val="000000"/>
              </w:rPr>
            </w:pPr>
            <w:r>
              <w:rPr>
                <w:rFonts w:hint="eastAsia"/>
                <w:color w:val="000000"/>
              </w:rPr>
              <w:t>粉剂</w:t>
            </w:r>
          </w:p>
        </w:tc>
        <w:tc>
          <w:tcPr>
            <w:tcW w:w="2516" w:type="dxa"/>
            <w:shd w:val="clear" w:color="auto" w:fill="auto"/>
            <w:vAlign w:val="center"/>
          </w:tcPr>
          <w:p w14:paraId="61741F2E">
            <w:pPr>
              <w:jc w:val="center"/>
              <w:rPr>
                <w:color w:val="000000"/>
                <w:sz w:val="20"/>
                <w:szCs w:val="20"/>
              </w:rPr>
            </w:pPr>
            <w:r>
              <w:rPr>
                <w:rFonts w:hint="eastAsia"/>
                <w:color w:val="000000"/>
                <w:sz w:val="20"/>
                <w:szCs w:val="20"/>
              </w:rPr>
              <w:t>无乳糖无蔗糖</w:t>
            </w:r>
          </w:p>
        </w:tc>
        <w:tc>
          <w:tcPr>
            <w:tcW w:w="1288" w:type="dxa"/>
            <w:shd w:val="clear" w:color="auto" w:fill="auto"/>
            <w:vAlign w:val="center"/>
          </w:tcPr>
          <w:p w14:paraId="73AB9A5E">
            <w:pPr>
              <w:jc w:val="center"/>
              <w:rPr>
                <w:color w:val="000000"/>
                <w:sz w:val="24"/>
              </w:rPr>
            </w:pPr>
            <w:r>
              <w:rPr>
                <w:rFonts w:hint="eastAsia"/>
                <w:color w:val="000000"/>
              </w:rPr>
              <w:t>是</w:t>
            </w:r>
          </w:p>
        </w:tc>
        <w:tc>
          <w:tcPr>
            <w:tcW w:w="1013" w:type="dxa"/>
            <w:shd w:val="clear" w:color="auto" w:fill="auto"/>
            <w:vAlign w:val="center"/>
          </w:tcPr>
          <w:p w14:paraId="5A6F7D19">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2F4A3DA2">
            <w:pPr>
              <w:jc w:val="center"/>
              <w:rPr>
                <w:color w:val="000000"/>
              </w:rPr>
            </w:pPr>
            <w:r>
              <w:rPr>
                <w:rFonts w:hint="eastAsia" w:cs="Calibri"/>
                <w:color w:val="000000"/>
              </w:rPr>
              <w:t>罐</w:t>
            </w:r>
          </w:p>
        </w:tc>
        <w:tc>
          <w:tcPr>
            <w:tcW w:w="1103" w:type="dxa"/>
            <w:shd w:val="clear" w:color="auto" w:fill="auto"/>
            <w:vAlign w:val="center"/>
          </w:tcPr>
          <w:p w14:paraId="78560F8E">
            <w:pPr>
              <w:jc w:val="center"/>
              <w:rPr>
                <w:color w:val="000000"/>
              </w:rPr>
            </w:pPr>
            <w:r>
              <w:rPr>
                <w:rFonts w:hint="eastAsia"/>
                <w:color w:val="000000"/>
              </w:rPr>
              <w:t>287.3</w:t>
            </w:r>
          </w:p>
        </w:tc>
      </w:tr>
      <w:tr w14:paraId="3E1B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shd w:val="clear" w:color="auto" w:fill="auto"/>
            <w:noWrap/>
            <w:vAlign w:val="center"/>
          </w:tcPr>
          <w:p w14:paraId="28C1D90D">
            <w:pPr>
              <w:jc w:val="center"/>
              <w:rPr>
                <w:rFonts w:ascii="宋体" w:hAnsi="宋体" w:cs="宋体"/>
              </w:rPr>
            </w:pPr>
            <w:r>
              <w:rPr>
                <w:rFonts w:hint="eastAsia"/>
              </w:rPr>
              <w:t>0</w:t>
            </w:r>
            <w:r>
              <w:t>5</w:t>
            </w:r>
          </w:p>
        </w:tc>
        <w:tc>
          <w:tcPr>
            <w:tcW w:w="936" w:type="dxa"/>
            <w:shd w:val="clear" w:color="auto" w:fill="auto"/>
            <w:vAlign w:val="center"/>
          </w:tcPr>
          <w:p w14:paraId="63647778">
            <w:pPr>
              <w:jc w:val="center"/>
              <w:rPr>
                <w:color w:val="000000"/>
              </w:rPr>
            </w:pPr>
            <w:r>
              <w:rPr>
                <w:rFonts w:hint="eastAsia"/>
                <w:color w:val="000000"/>
              </w:rPr>
              <w:t>全营养</w:t>
            </w:r>
          </w:p>
        </w:tc>
        <w:tc>
          <w:tcPr>
            <w:tcW w:w="936" w:type="dxa"/>
            <w:shd w:val="clear" w:color="auto" w:fill="auto"/>
            <w:vAlign w:val="center"/>
          </w:tcPr>
          <w:p w14:paraId="2D962E81">
            <w:pPr>
              <w:jc w:val="center"/>
              <w:rPr>
                <w:color w:val="000000"/>
              </w:rPr>
            </w:pPr>
            <w:r>
              <w:rPr>
                <w:rFonts w:hint="eastAsia"/>
                <w:color w:val="000000"/>
              </w:rPr>
              <w:t>适度水解配方</w:t>
            </w:r>
          </w:p>
        </w:tc>
        <w:tc>
          <w:tcPr>
            <w:tcW w:w="822" w:type="dxa"/>
            <w:shd w:val="clear" w:color="auto" w:fill="auto"/>
            <w:vAlign w:val="center"/>
          </w:tcPr>
          <w:p w14:paraId="06859527">
            <w:pPr>
              <w:jc w:val="center"/>
              <w:rPr>
                <w:color w:val="000000"/>
              </w:rPr>
            </w:pPr>
            <w:r>
              <w:rPr>
                <w:rFonts w:hint="eastAsia"/>
                <w:color w:val="000000"/>
              </w:rPr>
              <w:t>粉剂</w:t>
            </w:r>
          </w:p>
        </w:tc>
        <w:tc>
          <w:tcPr>
            <w:tcW w:w="2516" w:type="dxa"/>
            <w:shd w:val="clear" w:color="auto" w:fill="auto"/>
            <w:vAlign w:val="center"/>
          </w:tcPr>
          <w:p w14:paraId="60C37F3C">
            <w:pPr>
              <w:jc w:val="center"/>
              <w:rPr>
                <w:color w:val="000000"/>
                <w:sz w:val="20"/>
                <w:szCs w:val="20"/>
              </w:rPr>
            </w:pPr>
            <w:r>
              <w:rPr>
                <w:rFonts w:hint="eastAsia"/>
                <w:color w:val="000000"/>
                <w:sz w:val="20"/>
                <w:szCs w:val="20"/>
              </w:rPr>
              <w:t>适度水解低乳糖配方</w:t>
            </w:r>
          </w:p>
        </w:tc>
        <w:tc>
          <w:tcPr>
            <w:tcW w:w="1288" w:type="dxa"/>
            <w:shd w:val="clear" w:color="auto" w:fill="auto"/>
            <w:vAlign w:val="center"/>
          </w:tcPr>
          <w:p w14:paraId="77C5C72A">
            <w:pPr>
              <w:jc w:val="center"/>
              <w:rPr>
                <w:color w:val="000000"/>
                <w:sz w:val="24"/>
              </w:rPr>
            </w:pPr>
            <w:r>
              <w:rPr>
                <w:rFonts w:hint="eastAsia"/>
                <w:color w:val="000000"/>
              </w:rPr>
              <w:t>是</w:t>
            </w:r>
          </w:p>
        </w:tc>
        <w:tc>
          <w:tcPr>
            <w:tcW w:w="1013" w:type="dxa"/>
            <w:shd w:val="clear" w:color="auto" w:fill="auto"/>
            <w:vAlign w:val="center"/>
          </w:tcPr>
          <w:p w14:paraId="2B653E2D">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12C596DE">
            <w:pPr>
              <w:jc w:val="center"/>
              <w:rPr>
                <w:color w:val="000000"/>
              </w:rPr>
            </w:pPr>
            <w:r>
              <w:rPr>
                <w:rFonts w:hint="eastAsia" w:cs="Calibri"/>
                <w:color w:val="000000"/>
              </w:rPr>
              <w:t>罐</w:t>
            </w:r>
          </w:p>
        </w:tc>
        <w:tc>
          <w:tcPr>
            <w:tcW w:w="1103" w:type="dxa"/>
            <w:shd w:val="clear" w:color="auto" w:fill="auto"/>
            <w:vAlign w:val="center"/>
          </w:tcPr>
          <w:p w14:paraId="351FABFB">
            <w:pPr>
              <w:jc w:val="center"/>
              <w:rPr>
                <w:color w:val="000000"/>
              </w:rPr>
            </w:pPr>
            <w:r>
              <w:rPr>
                <w:rFonts w:hint="eastAsia"/>
                <w:color w:val="000000"/>
              </w:rPr>
              <w:t>138</w:t>
            </w:r>
          </w:p>
        </w:tc>
      </w:tr>
      <w:tr w14:paraId="1321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shd w:val="clear" w:color="auto" w:fill="auto"/>
            <w:noWrap/>
            <w:vAlign w:val="center"/>
          </w:tcPr>
          <w:p w14:paraId="2A89527D">
            <w:pPr>
              <w:jc w:val="center"/>
              <w:rPr>
                <w:rFonts w:ascii="宋体" w:hAnsi="宋体" w:cs="宋体"/>
              </w:rPr>
            </w:pPr>
            <w:r>
              <w:rPr>
                <w:rFonts w:hint="eastAsia"/>
              </w:rPr>
              <w:t>0</w:t>
            </w:r>
            <w:r>
              <w:t>6</w:t>
            </w:r>
          </w:p>
        </w:tc>
        <w:tc>
          <w:tcPr>
            <w:tcW w:w="936" w:type="dxa"/>
            <w:shd w:val="clear" w:color="auto" w:fill="auto"/>
            <w:vAlign w:val="center"/>
          </w:tcPr>
          <w:p w14:paraId="29ADE81A">
            <w:pPr>
              <w:jc w:val="center"/>
              <w:rPr>
                <w:color w:val="000000"/>
              </w:rPr>
            </w:pPr>
            <w:r>
              <w:rPr>
                <w:rFonts w:hint="eastAsia"/>
                <w:color w:val="000000"/>
              </w:rPr>
              <w:t>全营养</w:t>
            </w:r>
          </w:p>
        </w:tc>
        <w:tc>
          <w:tcPr>
            <w:tcW w:w="936" w:type="dxa"/>
            <w:shd w:val="clear" w:color="auto" w:fill="auto"/>
            <w:vAlign w:val="center"/>
          </w:tcPr>
          <w:p w14:paraId="2C1EC766">
            <w:pPr>
              <w:jc w:val="center"/>
              <w:rPr>
                <w:color w:val="000000"/>
              </w:rPr>
            </w:pPr>
            <w:r>
              <w:rPr>
                <w:rFonts w:hint="eastAsia"/>
                <w:color w:val="000000"/>
              </w:rPr>
              <w:t>母乳强化剂</w:t>
            </w:r>
          </w:p>
        </w:tc>
        <w:tc>
          <w:tcPr>
            <w:tcW w:w="822" w:type="dxa"/>
            <w:shd w:val="clear" w:color="auto" w:fill="auto"/>
            <w:vAlign w:val="center"/>
          </w:tcPr>
          <w:p w14:paraId="5291BD05">
            <w:pPr>
              <w:jc w:val="center"/>
              <w:rPr>
                <w:color w:val="000000"/>
              </w:rPr>
            </w:pPr>
            <w:r>
              <w:rPr>
                <w:rFonts w:hint="eastAsia"/>
                <w:color w:val="000000"/>
              </w:rPr>
              <w:t>粉剂</w:t>
            </w:r>
          </w:p>
        </w:tc>
        <w:tc>
          <w:tcPr>
            <w:tcW w:w="2516" w:type="dxa"/>
            <w:shd w:val="clear" w:color="auto" w:fill="auto"/>
            <w:vAlign w:val="center"/>
          </w:tcPr>
          <w:p w14:paraId="08F86DD7">
            <w:pPr>
              <w:jc w:val="center"/>
              <w:rPr>
                <w:color w:val="000000"/>
                <w:sz w:val="16"/>
                <w:szCs w:val="20"/>
              </w:rPr>
            </w:pPr>
            <w:r>
              <w:rPr>
                <w:rFonts w:hint="eastAsia"/>
                <w:color w:val="000000"/>
                <w:sz w:val="20"/>
                <w:szCs w:val="20"/>
              </w:rPr>
              <w:t>强化铁配方，减少额外补充铁的需要，含占总脂肪酸70%MCT，更易吸收渗透压低，无乳糖，适合母乳喂养的早产及低出生体重</w:t>
            </w:r>
          </w:p>
        </w:tc>
        <w:tc>
          <w:tcPr>
            <w:tcW w:w="1288" w:type="dxa"/>
            <w:shd w:val="clear" w:color="auto" w:fill="auto"/>
            <w:vAlign w:val="center"/>
          </w:tcPr>
          <w:p w14:paraId="651AB753">
            <w:pPr>
              <w:jc w:val="center"/>
              <w:rPr>
                <w:color w:val="000000"/>
                <w:sz w:val="24"/>
              </w:rPr>
            </w:pPr>
            <w:r>
              <w:rPr>
                <w:rFonts w:hint="eastAsia"/>
                <w:color w:val="000000"/>
              </w:rPr>
              <w:t>是</w:t>
            </w:r>
          </w:p>
        </w:tc>
        <w:tc>
          <w:tcPr>
            <w:tcW w:w="1013" w:type="dxa"/>
            <w:shd w:val="clear" w:color="auto" w:fill="auto"/>
            <w:vAlign w:val="center"/>
          </w:tcPr>
          <w:p w14:paraId="305F9E17">
            <w:pPr>
              <w:jc w:val="center"/>
              <w:rPr>
                <w:rFonts w:ascii="Calibri" w:hAnsi="Calibri" w:cs="Calibri"/>
                <w:color w:val="000000"/>
              </w:rPr>
            </w:pPr>
            <w:r>
              <w:rPr>
                <w:rFonts w:ascii="Calibri" w:hAnsi="Calibri" w:cs="Calibri"/>
                <w:color w:val="000000"/>
              </w:rPr>
              <w:t>300-400g/</w:t>
            </w:r>
            <w:r>
              <w:rPr>
                <w:rFonts w:hint="eastAsia" w:cs="Calibri"/>
                <w:color w:val="000000"/>
              </w:rPr>
              <w:t>罐</w:t>
            </w:r>
          </w:p>
        </w:tc>
        <w:tc>
          <w:tcPr>
            <w:tcW w:w="884" w:type="dxa"/>
            <w:shd w:val="clear" w:color="auto" w:fill="auto"/>
            <w:vAlign w:val="center"/>
          </w:tcPr>
          <w:p w14:paraId="16494387">
            <w:pPr>
              <w:jc w:val="center"/>
              <w:rPr>
                <w:color w:val="000000"/>
              </w:rPr>
            </w:pPr>
            <w:r>
              <w:rPr>
                <w:rFonts w:hint="eastAsia" w:cs="Calibri"/>
                <w:color w:val="000000"/>
              </w:rPr>
              <w:t>罐</w:t>
            </w:r>
          </w:p>
        </w:tc>
        <w:tc>
          <w:tcPr>
            <w:tcW w:w="1103" w:type="dxa"/>
            <w:shd w:val="clear" w:color="auto" w:fill="auto"/>
            <w:vAlign w:val="center"/>
          </w:tcPr>
          <w:p w14:paraId="3F8E7508">
            <w:pPr>
              <w:jc w:val="center"/>
              <w:rPr>
                <w:color w:val="000000"/>
              </w:rPr>
            </w:pPr>
            <w:r>
              <w:rPr>
                <w:rFonts w:hint="eastAsia"/>
                <w:color w:val="000000"/>
              </w:rPr>
              <w:t>168</w:t>
            </w:r>
          </w:p>
        </w:tc>
      </w:tr>
    </w:tbl>
    <w:p w14:paraId="5135138C">
      <w:pPr>
        <w:spacing w:line="360" w:lineRule="exact"/>
        <w:ind w:firstLine="420"/>
        <w:rPr>
          <w:rFonts w:ascii="宋体" w:hAnsi="宋体" w:eastAsia="宋体" w:cstheme="majorEastAsia"/>
          <w:sz w:val="24"/>
        </w:rPr>
      </w:pPr>
      <w:r>
        <w:rPr>
          <w:rFonts w:hint="eastAsia" w:ascii="宋体" w:hAnsi="宋体" w:eastAsia="宋体" w:cstheme="majorEastAsia"/>
          <w:b/>
          <w:sz w:val="24"/>
        </w:rPr>
        <w:t>（四）其他技术要求：</w:t>
      </w:r>
    </w:p>
    <w:p w14:paraId="436C4D8D">
      <w:pPr>
        <w:spacing w:line="360" w:lineRule="exact"/>
        <w:ind w:firstLine="420"/>
        <w:rPr>
          <w:rFonts w:ascii="宋体" w:hAnsi="宋体" w:eastAsia="宋体" w:cstheme="majorEastAsia"/>
          <w:sz w:val="24"/>
        </w:rPr>
      </w:pPr>
      <w:r>
        <w:rPr>
          <w:rFonts w:hint="eastAsia" w:ascii="宋体" w:hAnsi="宋体" w:eastAsia="宋体" w:cstheme="majorEastAsia"/>
          <w:sz w:val="24"/>
        </w:rPr>
        <w:t>1、投标人提供的产品需符合国家承认的相应标准，质量、规格、厂家、品牌等，应与投标所注明的一致。</w:t>
      </w:r>
    </w:p>
    <w:p w14:paraId="1ADECB54">
      <w:pPr>
        <w:spacing w:line="360" w:lineRule="exact"/>
        <w:ind w:firstLine="420"/>
        <w:rPr>
          <w:rFonts w:ascii="宋体" w:hAnsi="宋体" w:eastAsia="宋体" w:cstheme="majorEastAsia"/>
          <w:sz w:val="24"/>
        </w:rPr>
      </w:pPr>
      <w:r>
        <w:rPr>
          <w:rFonts w:hint="eastAsia" w:ascii="宋体" w:hAnsi="宋体" w:eastAsia="宋体" w:cstheme="majorEastAsia"/>
          <w:sz w:val="24"/>
        </w:rPr>
        <w:t>2、投标人不得销售已被国家食品药品监督管理局公告的不合格产品，否则将被取消中标资格。产品包装上（包括大包装、小包装等）需附有以下所列各项国家规定的中文标示：</w:t>
      </w:r>
    </w:p>
    <w:p w14:paraId="1CA2B449">
      <w:pPr>
        <w:spacing w:line="360" w:lineRule="exact"/>
        <w:ind w:firstLine="420"/>
        <w:rPr>
          <w:rFonts w:ascii="宋体" w:hAnsi="宋体" w:eastAsia="宋体" w:cstheme="majorEastAsia"/>
          <w:sz w:val="24"/>
        </w:rPr>
      </w:pPr>
      <w:r>
        <w:rPr>
          <w:rFonts w:hint="eastAsia" w:ascii="宋体" w:hAnsi="宋体" w:eastAsia="宋体" w:cstheme="majorEastAsia"/>
          <w:sz w:val="24"/>
        </w:rPr>
        <w:t>（1）产品名称、型号、规格：</w:t>
      </w:r>
    </w:p>
    <w:p w14:paraId="28BFB801">
      <w:pPr>
        <w:spacing w:line="360" w:lineRule="exact"/>
        <w:ind w:firstLine="420"/>
        <w:rPr>
          <w:rFonts w:ascii="宋体" w:hAnsi="宋体" w:eastAsia="宋体" w:cstheme="majorEastAsia"/>
          <w:sz w:val="24"/>
        </w:rPr>
      </w:pPr>
      <w:r>
        <w:rPr>
          <w:rFonts w:hint="eastAsia" w:ascii="宋体" w:hAnsi="宋体" w:eastAsia="宋体" w:cstheme="majorEastAsia"/>
          <w:sz w:val="24"/>
        </w:rPr>
        <w:t>（2）生产企业名称、注册地址、生产地址、联系方式；</w:t>
      </w:r>
    </w:p>
    <w:p w14:paraId="254A333E">
      <w:pPr>
        <w:spacing w:line="360" w:lineRule="exact"/>
        <w:ind w:firstLine="420"/>
        <w:rPr>
          <w:rFonts w:ascii="宋体" w:hAnsi="宋体" w:eastAsia="宋体" w:cstheme="majorEastAsia"/>
          <w:sz w:val="24"/>
        </w:rPr>
      </w:pPr>
      <w:r>
        <w:rPr>
          <w:rFonts w:hint="eastAsia" w:ascii="宋体" w:hAnsi="宋体" w:eastAsia="宋体" w:cstheme="majorEastAsia"/>
          <w:sz w:val="24"/>
        </w:rPr>
        <w:t>（3）产品注册证号、生产许可证号；</w:t>
      </w:r>
    </w:p>
    <w:p w14:paraId="52FF653E">
      <w:pPr>
        <w:spacing w:line="360" w:lineRule="exact"/>
        <w:ind w:firstLine="420"/>
        <w:rPr>
          <w:rFonts w:ascii="宋体" w:hAnsi="宋体" w:eastAsia="宋体" w:cstheme="majorEastAsia"/>
          <w:sz w:val="24"/>
        </w:rPr>
      </w:pPr>
      <w:r>
        <w:rPr>
          <w:rFonts w:hint="eastAsia" w:ascii="宋体" w:hAnsi="宋体" w:eastAsia="宋体" w:cstheme="majorEastAsia"/>
          <w:sz w:val="24"/>
        </w:rPr>
        <w:t>（4）产品标准编号；</w:t>
      </w:r>
    </w:p>
    <w:p w14:paraId="0C0B1ECA">
      <w:pPr>
        <w:spacing w:line="360" w:lineRule="exact"/>
        <w:ind w:firstLine="420"/>
        <w:rPr>
          <w:rFonts w:ascii="宋体" w:hAnsi="宋体" w:eastAsia="宋体" w:cstheme="majorEastAsia"/>
          <w:sz w:val="24"/>
        </w:rPr>
      </w:pPr>
      <w:r>
        <w:rPr>
          <w:rFonts w:hint="eastAsia" w:ascii="宋体" w:hAnsi="宋体" w:eastAsia="宋体" w:cstheme="majorEastAsia"/>
          <w:sz w:val="24"/>
        </w:rPr>
        <w:t>（5）产品生产日期或批（编）号；</w:t>
      </w:r>
    </w:p>
    <w:p w14:paraId="11B02FCF">
      <w:pPr>
        <w:spacing w:line="360" w:lineRule="exact"/>
        <w:ind w:firstLine="420"/>
        <w:rPr>
          <w:rFonts w:ascii="宋体" w:hAnsi="宋体" w:eastAsia="宋体" w:cstheme="majorEastAsia"/>
          <w:sz w:val="24"/>
        </w:rPr>
      </w:pPr>
      <w:r>
        <w:rPr>
          <w:rFonts w:hint="eastAsia" w:ascii="宋体" w:hAnsi="宋体" w:eastAsia="宋体" w:cstheme="majorEastAsia"/>
          <w:sz w:val="24"/>
        </w:rPr>
        <w:t>（6）限期使用的产品应标明有效期限；</w:t>
      </w:r>
    </w:p>
    <w:p w14:paraId="64E2B44B">
      <w:pPr>
        <w:spacing w:line="360" w:lineRule="exact"/>
        <w:ind w:firstLine="420"/>
        <w:rPr>
          <w:rFonts w:ascii="宋体" w:hAnsi="宋体" w:eastAsia="宋体" w:cstheme="majorEastAsia"/>
          <w:sz w:val="24"/>
        </w:rPr>
      </w:pPr>
      <w:r>
        <w:rPr>
          <w:rFonts w:hint="eastAsia" w:ascii="宋体" w:hAnsi="宋体" w:eastAsia="宋体" w:cstheme="majorEastAsia"/>
          <w:sz w:val="24"/>
        </w:rPr>
        <w:t>（7）依据产品特点应标注的图形、符号以及其他相关内容。</w:t>
      </w:r>
    </w:p>
    <w:p w14:paraId="2967D8B2">
      <w:pPr>
        <w:spacing w:line="360" w:lineRule="exact"/>
        <w:ind w:firstLine="420"/>
        <w:rPr>
          <w:rFonts w:ascii="宋体" w:hAnsi="宋体" w:eastAsia="宋体" w:cstheme="majorEastAsia"/>
          <w:sz w:val="24"/>
        </w:rPr>
      </w:pPr>
      <w:r>
        <w:rPr>
          <w:rFonts w:hint="eastAsia" w:ascii="宋体" w:hAnsi="宋体" w:eastAsia="宋体" w:cstheme="majorEastAsia"/>
          <w:sz w:val="24"/>
        </w:rPr>
        <w:t>3、投标产品需对应合格的下列相关资料：</w:t>
      </w:r>
    </w:p>
    <w:p w14:paraId="6C81BFE9">
      <w:pPr>
        <w:spacing w:line="360" w:lineRule="exact"/>
        <w:ind w:firstLine="420"/>
        <w:rPr>
          <w:rFonts w:ascii="宋体" w:hAnsi="宋体" w:eastAsia="宋体" w:cstheme="majorEastAsia"/>
          <w:sz w:val="24"/>
        </w:rPr>
      </w:pPr>
      <w:r>
        <w:rPr>
          <w:rFonts w:hint="eastAsia" w:ascii="宋体" w:hAnsi="宋体" w:eastAsia="宋体" w:cstheme="majorEastAsia"/>
          <w:sz w:val="24"/>
        </w:rPr>
        <w:t>（1）投标品规的执行标准（国家标准、行业或地方标准、企业标准）；</w:t>
      </w:r>
    </w:p>
    <w:p w14:paraId="6824067D">
      <w:pPr>
        <w:spacing w:line="360" w:lineRule="exact"/>
        <w:ind w:firstLine="420"/>
        <w:rPr>
          <w:rFonts w:ascii="宋体" w:hAnsi="宋体" w:eastAsia="宋体" w:cstheme="majorEastAsia"/>
          <w:sz w:val="24"/>
        </w:rPr>
      </w:pPr>
      <w:r>
        <w:rPr>
          <w:rFonts w:hint="eastAsia" w:ascii="宋体" w:hAnsi="宋体" w:eastAsia="宋体" w:cstheme="majorEastAsia"/>
          <w:sz w:val="24"/>
        </w:rPr>
        <w:t>（2）产品说明书（没有说明书的，可以依照外包装上的说明书打印在A4纸上并加盖公章；外文说明书上的性能与组成等技术参数应翻译成中文）；</w:t>
      </w:r>
    </w:p>
    <w:p w14:paraId="59D1A0B9">
      <w:pPr>
        <w:spacing w:line="360" w:lineRule="exact"/>
        <w:ind w:firstLine="420"/>
        <w:rPr>
          <w:rFonts w:ascii="宋体" w:hAnsi="宋体" w:eastAsia="宋体" w:cstheme="majorEastAsia"/>
          <w:sz w:val="24"/>
        </w:rPr>
      </w:pPr>
      <w:r>
        <w:rPr>
          <w:rFonts w:hint="eastAsia" w:ascii="宋体" w:hAnsi="宋体" w:eastAsia="宋体" w:cstheme="majorEastAsia"/>
          <w:b/>
          <w:sz w:val="24"/>
        </w:rPr>
        <w:t>（五）商务及服务要求：</w:t>
      </w:r>
    </w:p>
    <w:p w14:paraId="279556A4">
      <w:pPr>
        <w:spacing w:line="360" w:lineRule="exact"/>
        <w:ind w:firstLine="420"/>
        <w:rPr>
          <w:rFonts w:ascii="宋体" w:hAnsi="宋体" w:eastAsia="宋体" w:cstheme="majorEastAsia"/>
          <w:sz w:val="24"/>
        </w:rPr>
      </w:pPr>
      <w:r>
        <w:rPr>
          <w:rFonts w:hint="eastAsia" w:ascii="宋体" w:hAnsi="宋体" w:eastAsia="宋体" w:cstheme="majorEastAsia"/>
          <w:sz w:val="24"/>
        </w:rPr>
        <w:t>★1、中标人提供的货物必须是全新的、无污染、无划损、无任何缺陷隐患。</w:t>
      </w:r>
    </w:p>
    <w:p w14:paraId="6B680F2E">
      <w:pPr>
        <w:spacing w:line="360" w:lineRule="exact"/>
        <w:ind w:firstLine="420"/>
        <w:rPr>
          <w:rFonts w:ascii="宋体" w:hAnsi="宋体" w:eastAsia="宋体" w:cstheme="majorEastAsia"/>
          <w:sz w:val="24"/>
        </w:rPr>
      </w:pPr>
      <w:r>
        <w:rPr>
          <w:rFonts w:hint="eastAsia" w:ascii="宋体" w:hAnsi="宋体" w:eastAsia="宋体" w:cstheme="majorEastAsia"/>
          <w:sz w:val="24"/>
        </w:rPr>
        <w:t>★2、中标人提供的货物必须符合名称、规格、数量方面要求。供货清单必须清晰标示产品名称、规格、数量，其中产品名称以及规格必须与投标文件一致，数量必须与采购人发出的供货需求的数量一致，否则，采购人有权拒绝验收货物，按违约追究责任。</w:t>
      </w:r>
    </w:p>
    <w:p w14:paraId="2F42ADD7">
      <w:pPr>
        <w:spacing w:line="360" w:lineRule="exact"/>
        <w:ind w:firstLine="420"/>
        <w:rPr>
          <w:rFonts w:ascii="宋体" w:hAnsi="宋体" w:eastAsia="宋体" w:cstheme="majorEastAsia"/>
          <w:sz w:val="24"/>
        </w:rPr>
      </w:pPr>
      <w:r>
        <w:rPr>
          <w:rFonts w:hint="eastAsia" w:ascii="宋体" w:hAnsi="宋体" w:eastAsia="宋体" w:cstheme="majorEastAsia"/>
          <w:sz w:val="24"/>
        </w:rPr>
        <w:t>3、如中标人配送货物时间超过合同约定的配送时间之日起10个工作日的，采购人将扣罚中标人合同金额的1%的金额。如中标人在项目执行期间出现配送不及时的情况达3次，则采购人有权单方面终止该中标人的配送资格。</w:t>
      </w:r>
    </w:p>
    <w:p w14:paraId="0A7D1927">
      <w:pPr>
        <w:spacing w:line="360" w:lineRule="exact"/>
        <w:ind w:firstLine="420"/>
        <w:rPr>
          <w:rFonts w:ascii="宋体" w:hAnsi="宋体" w:eastAsia="宋体" w:cstheme="majorEastAsia"/>
          <w:sz w:val="24"/>
        </w:rPr>
      </w:pPr>
      <w:r>
        <w:rPr>
          <w:rFonts w:hint="eastAsia" w:ascii="宋体" w:hAnsi="宋体" w:eastAsia="宋体" w:cstheme="majorEastAsia"/>
          <w:sz w:val="24"/>
        </w:rPr>
        <w:t>4、如发现国家政府部门网站公布有问题产品批次的，或经采购人（或检查单位）检验有质量问题，供应商无条件退货，产生所有费用由供应商负责。如因供应商供应伪劣产品、冒牌产品、与实际重量不符产品等，采购人将追究其法律责任，并对供应商进行供应资格清退手续。</w:t>
      </w:r>
    </w:p>
    <w:p w14:paraId="3A22246D">
      <w:pPr>
        <w:spacing w:line="360" w:lineRule="exact"/>
        <w:ind w:firstLine="420"/>
        <w:rPr>
          <w:rFonts w:ascii="宋体" w:hAnsi="宋体" w:eastAsia="宋体" w:cstheme="majorEastAsia"/>
          <w:sz w:val="24"/>
        </w:rPr>
      </w:pPr>
      <w:r>
        <w:rPr>
          <w:rFonts w:hint="eastAsia" w:ascii="宋体" w:hAnsi="宋体" w:eastAsia="宋体" w:cstheme="majorEastAsia"/>
          <w:sz w:val="24"/>
        </w:rPr>
        <w:t>5、中标人应确保全年365天供货，在接到采购人供货通知后1小时内响应，48小时或以内送达采购人指定地点，紧急情况应2小时或以内送货上门，所需费用已包含在投标报价内，采购人不再另外支付费用。</w:t>
      </w:r>
    </w:p>
    <w:p w14:paraId="76126D8A">
      <w:pPr>
        <w:spacing w:line="360" w:lineRule="exact"/>
        <w:ind w:firstLine="420"/>
        <w:rPr>
          <w:rFonts w:ascii="宋体" w:hAnsi="宋体" w:eastAsia="宋体" w:cstheme="majorEastAsia"/>
          <w:sz w:val="24"/>
        </w:rPr>
      </w:pPr>
      <w:r>
        <w:rPr>
          <w:rFonts w:hint="eastAsia" w:ascii="宋体" w:hAnsi="宋体" w:eastAsia="宋体" w:cstheme="majorEastAsia"/>
          <w:sz w:val="24"/>
        </w:rPr>
        <w:t>★6、中标人承诺在实际采购过程中，不论采购的货物来源何地，采购的货物必须是优质、正规、检验合格，并符合国家食品安全标准的产品。</w:t>
      </w:r>
    </w:p>
    <w:p w14:paraId="111E36F9">
      <w:pPr>
        <w:spacing w:line="360" w:lineRule="exact"/>
        <w:ind w:firstLine="420"/>
        <w:rPr>
          <w:rFonts w:ascii="宋体" w:hAnsi="宋体" w:eastAsia="宋体" w:cstheme="majorEastAsia"/>
          <w:sz w:val="24"/>
        </w:rPr>
      </w:pPr>
      <w:r>
        <w:rPr>
          <w:rFonts w:hint="eastAsia" w:ascii="宋体" w:hAnsi="宋体" w:eastAsia="宋体" w:cstheme="majorEastAsia"/>
          <w:sz w:val="24"/>
        </w:rPr>
        <w:t>★7、中标人承诺所提供的物品必须符合相关法律法规要求。</w:t>
      </w:r>
    </w:p>
    <w:p w14:paraId="7043B513">
      <w:pPr>
        <w:spacing w:line="360" w:lineRule="exact"/>
        <w:ind w:firstLine="420"/>
        <w:rPr>
          <w:rFonts w:ascii="宋体" w:hAnsi="宋体" w:eastAsia="宋体" w:cstheme="majorEastAsia"/>
          <w:sz w:val="24"/>
        </w:rPr>
      </w:pPr>
      <w:r>
        <w:rPr>
          <w:rFonts w:hint="eastAsia" w:ascii="宋体" w:hAnsi="宋体" w:eastAsia="宋体" w:cstheme="majorEastAsia"/>
          <w:sz w:val="24"/>
        </w:rPr>
        <w:t>8、本需求书中所列明的每种货物，采购人没有义务确保采购量，请投标人自行承担采购风险。</w:t>
      </w:r>
    </w:p>
    <w:p w14:paraId="244A42AE">
      <w:pPr>
        <w:spacing w:line="360" w:lineRule="exact"/>
        <w:ind w:firstLine="420"/>
        <w:rPr>
          <w:rFonts w:ascii="宋体" w:hAnsi="宋体" w:eastAsia="宋体" w:cstheme="majorEastAsia"/>
          <w:sz w:val="24"/>
        </w:rPr>
      </w:pPr>
      <w:r>
        <w:rPr>
          <w:rFonts w:hint="eastAsia" w:ascii="宋体" w:hAnsi="宋体" w:eastAsia="宋体" w:cstheme="majorEastAsia"/>
          <w:sz w:val="24"/>
        </w:rPr>
        <w:t>9、中标人不得将中标项目转让分包给他人，一经发现，采购人有权终止合同，由此产生的一切经济损失由中标人自行承担。</w:t>
      </w:r>
    </w:p>
    <w:p w14:paraId="2F48CF1B">
      <w:pPr>
        <w:spacing w:line="360" w:lineRule="exact"/>
        <w:ind w:firstLine="420"/>
        <w:rPr>
          <w:rFonts w:ascii="宋体" w:hAnsi="宋体" w:eastAsia="宋体" w:cstheme="majorEastAsia"/>
          <w:sz w:val="24"/>
        </w:rPr>
      </w:pPr>
      <w:r>
        <w:rPr>
          <w:rFonts w:hint="eastAsia" w:ascii="宋体" w:hAnsi="宋体" w:eastAsia="宋体" w:cstheme="majorEastAsia"/>
          <w:sz w:val="24"/>
        </w:rPr>
        <w:t>★10、中标人承诺所提供的物品必须符合国家行业生产及经营标准，货真价实，均能提供相应批次的合格检验证明。</w:t>
      </w:r>
    </w:p>
    <w:p w14:paraId="53207404">
      <w:pPr>
        <w:spacing w:line="360" w:lineRule="exact"/>
        <w:ind w:firstLine="420"/>
        <w:rPr>
          <w:rFonts w:ascii="宋体" w:hAnsi="宋体" w:eastAsia="宋体" w:cstheme="majorEastAsia"/>
          <w:sz w:val="24"/>
        </w:rPr>
      </w:pPr>
      <w:r>
        <w:rPr>
          <w:rFonts w:hint="eastAsia" w:ascii="宋体" w:hAnsi="宋体" w:eastAsia="宋体" w:cstheme="majorEastAsia"/>
          <w:sz w:val="24"/>
        </w:rPr>
        <w:t>★11、中标人承诺所提供的物品必须各项技术指标完全符合国家有关质量检测、环保标准及产品出厂标准.</w:t>
      </w:r>
    </w:p>
    <w:p w14:paraId="4D5BEE07">
      <w:pPr>
        <w:spacing w:line="360" w:lineRule="exact"/>
        <w:ind w:firstLine="420"/>
        <w:rPr>
          <w:rFonts w:ascii="宋体" w:hAnsi="宋体" w:eastAsia="宋体" w:cstheme="majorEastAsia"/>
          <w:sz w:val="24"/>
        </w:rPr>
      </w:pPr>
      <w:r>
        <w:rPr>
          <w:rFonts w:hint="eastAsia" w:ascii="宋体" w:hAnsi="宋体" w:eastAsia="宋体" w:cstheme="majorEastAsia"/>
          <w:sz w:val="24"/>
        </w:rPr>
        <w:t>★12、采购人按相关要求对货物进行严格验收，对不符合规格要求的货物，中标人必须无条件退货；中标人未能履行招标文件和合同所定事项，或供应不合格的、假冒伪劣、以次充好的货物，采购人退货后将记录在案，并对中标人予以处罚，除要承担因此产生的一切损失和费用外，情节严重的可取消其中标资格。</w:t>
      </w:r>
    </w:p>
    <w:p w14:paraId="2363DA46">
      <w:pPr>
        <w:spacing w:line="360" w:lineRule="exact"/>
        <w:ind w:firstLine="420"/>
        <w:rPr>
          <w:rFonts w:ascii="宋体" w:hAnsi="宋体" w:eastAsia="宋体" w:cstheme="majorEastAsia"/>
          <w:sz w:val="24"/>
        </w:rPr>
      </w:pPr>
      <w:r>
        <w:rPr>
          <w:rFonts w:hint="eastAsia" w:ascii="宋体" w:hAnsi="宋体" w:eastAsia="宋体" w:cstheme="majorEastAsia"/>
          <w:sz w:val="24"/>
        </w:rPr>
        <w:t>13、投标人承诺具有完善的配送渠道和物流设施，丰富的配送经验，在业界有良好的信誉；</w:t>
      </w:r>
    </w:p>
    <w:p w14:paraId="7E562D48">
      <w:pPr>
        <w:spacing w:line="360" w:lineRule="exact"/>
        <w:ind w:firstLine="420"/>
        <w:rPr>
          <w:rFonts w:ascii="宋体" w:hAnsi="宋体" w:eastAsia="宋体" w:cstheme="majorEastAsia"/>
          <w:sz w:val="24"/>
        </w:rPr>
      </w:pPr>
      <w:r>
        <w:rPr>
          <w:rFonts w:hint="eastAsia" w:ascii="宋体" w:hAnsi="宋体" w:eastAsia="宋体" w:cstheme="majorEastAsia"/>
          <w:sz w:val="24"/>
        </w:rPr>
        <w:t>★14、对中标人所供货物由于质量发生的任何问题，而导致引起采购人损失的，全部责任由中标人负责。</w:t>
      </w:r>
    </w:p>
    <w:p w14:paraId="64FC61B7">
      <w:pPr>
        <w:spacing w:line="360" w:lineRule="exact"/>
        <w:ind w:firstLine="420"/>
        <w:rPr>
          <w:rFonts w:ascii="宋体" w:hAnsi="宋体" w:eastAsia="宋体" w:cstheme="majorEastAsia"/>
          <w:sz w:val="24"/>
        </w:rPr>
      </w:pPr>
      <w:r>
        <w:rPr>
          <w:rFonts w:hint="eastAsia" w:ascii="宋体" w:hAnsi="宋体" w:eastAsia="宋体" w:cstheme="majorEastAsia"/>
          <w:sz w:val="24"/>
        </w:rPr>
        <w:t>15、由于采购人业务发展需要，升级更新营养制剂采购品种，由采购人与中标人双方同意，确定具体品种规格和价格后进行供应。</w:t>
      </w:r>
    </w:p>
    <w:p w14:paraId="46C38B20">
      <w:pPr>
        <w:spacing w:line="360" w:lineRule="exact"/>
        <w:ind w:firstLine="420"/>
        <w:rPr>
          <w:rFonts w:ascii="宋体" w:hAnsi="宋体" w:eastAsia="宋体" w:cstheme="majorEastAsia"/>
          <w:b/>
          <w:sz w:val="24"/>
        </w:rPr>
      </w:pPr>
      <w:r>
        <w:rPr>
          <w:rFonts w:hint="eastAsia" w:ascii="宋体" w:hAnsi="宋体" w:eastAsia="宋体" w:cstheme="majorEastAsia"/>
          <w:b/>
          <w:sz w:val="24"/>
        </w:rPr>
        <w:t>（六）售后服务：</w:t>
      </w:r>
    </w:p>
    <w:p w14:paraId="53E84C60">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1、提供专人及专用对接服务；</w:t>
      </w:r>
    </w:p>
    <w:p w14:paraId="0CBD8856">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2、关于投标产品的技术培训，每次培训时长不少于半小时，培训次数不少于3次，培训费用由中标人承担。</w:t>
      </w:r>
    </w:p>
    <w:p w14:paraId="38323B7A">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 xml:space="preserve">3、定期收集使用方的使用意见，对所投产品进行改进； </w:t>
      </w:r>
    </w:p>
    <w:p w14:paraId="3B90056F">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4、因产品质量问题发生退换货的情况要求一周内处理完成。</w:t>
      </w:r>
    </w:p>
    <w:p w14:paraId="42CB0E3A">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5、对于水剂型肠内营养制剂，保质期12个月以上，临期3个月需要退回厂家；对于粉剂型肠内营养制剂，保质期24个月以上，临期6个月退回厂家。</w:t>
      </w:r>
    </w:p>
    <w:p w14:paraId="43464F60">
      <w:pPr>
        <w:spacing w:line="360" w:lineRule="exact"/>
        <w:ind w:firstLine="420"/>
        <w:rPr>
          <w:rFonts w:ascii="宋体" w:hAnsi="宋体" w:eastAsia="宋体" w:cstheme="majorEastAsia"/>
          <w:sz w:val="24"/>
        </w:rPr>
      </w:pPr>
      <w:r>
        <w:rPr>
          <w:rFonts w:hint="eastAsia" w:ascii="宋体" w:hAnsi="宋体" w:eastAsia="宋体" w:cstheme="majorEastAsia"/>
          <w:b/>
          <w:sz w:val="24"/>
        </w:rPr>
        <w:t>（七）配送要求</w:t>
      </w:r>
    </w:p>
    <w:p w14:paraId="7877DDDA">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投标人根据本项目采购需求拟定详细具体配送方案，包括但不限于人员、车辆的安排以及配送过程中的应急措施。</w:t>
      </w:r>
    </w:p>
    <w:p w14:paraId="00890EF5">
      <w:pPr>
        <w:spacing w:line="360" w:lineRule="exact"/>
        <w:ind w:firstLine="420"/>
        <w:rPr>
          <w:rFonts w:ascii="宋体" w:hAnsi="宋体" w:eastAsia="宋体" w:cstheme="majorEastAsia"/>
          <w:sz w:val="24"/>
        </w:rPr>
      </w:pPr>
      <w:r>
        <w:rPr>
          <w:rFonts w:hint="eastAsia" w:ascii="宋体" w:hAnsi="宋体" w:eastAsia="宋体" w:cstheme="majorEastAsia"/>
          <w:b/>
          <w:sz w:val="24"/>
        </w:rPr>
        <w:t>（八）验收要求</w:t>
      </w:r>
    </w:p>
    <w:p w14:paraId="61745274">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采购人按相关要求对货物进行严格验收，对不符合规格要求的货物，中标人必须无条件退货；中标人未能履行招标文件和合同所定事项,或供应不合格的、假冒伪劣、以次充好的货物，采购人退货后将记录在案，并对中标人予以处罚，除要承担因此产生的一切损失和费用外，情节严重的可取消其供应资格。</w:t>
      </w:r>
    </w:p>
    <w:p w14:paraId="4342165E">
      <w:pPr>
        <w:spacing w:line="360" w:lineRule="exact"/>
        <w:ind w:firstLine="420"/>
        <w:rPr>
          <w:rFonts w:ascii="宋体" w:hAnsi="宋体" w:eastAsia="宋体" w:cstheme="majorEastAsia"/>
          <w:sz w:val="24"/>
        </w:rPr>
      </w:pPr>
      <w:r>
        <w:rPr>
          <w:rFonts w:hint="eastAsia" w:ascii="宋体" w:hAnsi="宋体" w:eastAsia="宋体" w:cstheme="majorEastAsia"/>
          <w:b/>
          <w:sz w:val="24"/>
        </w:rPr>
        <w:t>（九）付款方式</w:t>
      </w:r>
    </w:p>
    <w:p w14:paraId="21422C26">
      <w:pPr>
        <w:spacing w:line="360" w:lineRule="exact"/>
        <w:ind w:firstLine="480" w:firstLineChars="200"/>
        <w:rPr>
          <w:rFonts w:ascii="宋体" w:hAnsi="宋体" w:eastAsia="宋体" w:cstheme="majorEastAsia"/>
          <w:sz w:val="24"/>
        </w:rPr>
      </w:pPr>
      <w:r>
        <w:rPr>
          <w:rFonts w:hint="eastAsia" w:ascii="宋体" w:hAnsi="宋体" w:eastAsia="宋体" w:cstheme="majorEastAsia"/>
          <w:sz w:val="24"/>
        </w:rPr>
        <w:t>付款采用按实际供货结算，每月结算一次。每月5日之前与采购人进行上月非药肠内营养品及包装材料配送服务费用核算，中标人汇总及确认下单数量并提交至采购人，采购人确定无异议后，由中标人向采购人提供正式税务发票，采购人于收到发票后30天内付款。</w:t>
      </w:r>
    </w:p>
    <w:p w14:paraId="5EAC2889">
      <w:pPr>
        <w:spacing w:line="360" w:lineRule="exact"/>
        <w:ind w:firstLine="420"/>
        <w:rPr>
          <w:rFonts w:ascii="宋体" w:hAnsi="宋体" w:eastAsia="宋体" w:cstheme="majorEastAsia"/>
          <w:sz w:val="24"/>
        </w:rPr>
      </w:pPr>
    </w:p>
    <w:p w14:paraId="57E94D1C">
      <w:pPr>
        <w:spacing w:line="360" w:lineRule="exact"/>
        <w:ind w:firstLine="420"/>
        <w:rPr>
          <w:rFonts w:ascii="宋体" w:hAnsi="宋体" w:eastAsia="宋体" w:cstheme="majorEastAsia"/>
          <w:sz w:val="24"/>
        </w:rPr>
      </w:pPr>
    </w:p>
    <w:p w14:paraId="514519B1">
      <w:pPr>
        <w:rPr>
          <w:rFonts w:ascii="宋体" w:hAnsi="宋体" w:eastAsia="宋体"/>
          <w:sz w:val="24"/>
        </w:rPr>
      </w:pPr>
      <w:bookmarkStart w:id="0" w:name="_GoBack"/>
      <w:bookmarkEnd w:id="0"/>
    </w:p>
    <w:sectPr>
      <w:footerReference r:id="rId3" w:type="default"/>
      <w:pgSz w:w="11906" w:h="16838"/>
      <w:pgMar w:top="1134" w:right="851" w:bottom="851" w:left="1134"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274608"/>
    </w:sdtPr>
    <w:sdtContent>
      <w:p w14:paraId="119C811B">
        <w:pPr>
          <w:pStyle w:val="4"/>
          <w:jc w:val="center"/>
        </w:pPr>
        <w:r>
          <w:fldChar w:fldCharType="begin"/>
        </w:r>
        <w:r>
          <w:instrText xml:space="preserve">PAGE   \* MERGEFORMAT</w:instrText>
        </w:r>
        <w:r>
          <w:fldChar w:fldCharType="separate"/>
        </w:r>
        <w:r>
          <w:rPr>
            <w:lang w:val="zh-CN"/>
          </w:rPr>
          <w:t>-</w:t>
        </w:r>
        <w:r>
          <w:t xml:space="preserve"> 5 -</w:t>
        </w:r>
        <w:r>
          <w:fldChar w:fldCharType="end"/>
        </w:r>
      </w:p>
    </w:sdtContent>
  </w:sdt>
  <w:p w14:paraId="6747782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U1NTk0MGVmYzQyMzE0NDI0YzlkMzFlMWYxMjkifQ=="/>
  </w:docVars>
  <w:rsids>
    <w:rsidRoot w:val="00AE3DEF"/>
    <w:rsid w:val="000C7474"/>
    <w:rsid w:val="00130095"/>
    <w:rsid w:val="00154E57"/>
    <w:rsid w:val="00177479"/>
    <w:rsid w:val="0018116C"/>
    <w:rsid w:val="001A25B4"/>
    <w:rsid w:val="0027454E"/>
    <w:rsid w:val="002A65F1"/>
    <w:rsid w:val="002C773C"/>
    <w:rsid w:val="0033025F"/>
    <w:rsid w:val="003548BD"/>
    <w:rsid w:val="00395ED5"/>
    <w:rsid w:val="0039678F"/>
    <w:rsid w:val="003D45B6"/>
    <w:rsid w:val="003E4273"/>
    <w:rsid w:val="00474588"/>
    <w:rsid w:val="00487D3E"/>
    <w:rsid w:val="005D5F89"/>
    <w:rsid w:val="005F1042"/>
    <w:rsid w:val="00602434"/>
    <w:rsid w:val="006125BB"/>
    <w:rsid w:val="00645206"/>
    <w:rsid w:val="006C18E1"/>
    <w:rsid w:val="006F0739"/>
    <w:rsid w:val="007B7A71"/>
    <w:rsid w:val="00810FA1"/>
    <w:rsid w:val="008343C8"/>
    <w:rsid w:val="00840B28"/>
    <w:rsid w:val="008C061E"/>
    <w:rsid w:val="008E4433"/>
    <w:rsid w:val="009D6384"/>
    <w:rsid w:val="00A11890"/>
    <w:rsid w:val="00AA6A23"/>
    <w:rsid w:val="00AC5190"/>
    <w:rsid w:val="00AC5C79"/>
    <w:rsid w:val="00AE3DEF"/>
    <w:rsid w:val="00B20E7C"/>
    <w:rsid w:val="00B26C78"/>
    <w:rsid w:val="00B30E69"/>
    <w:rsid w:val="00C26904"/>
    <w:rsid w:val="00C67869"/>
    <w:rsid w:val="00C83350"/>
    <w:rsid w:val="00D211F9"/>
    <w:rsid w:val="00D46F06"/>
    <w:rsid w:val="00D71179"/>
    <w:rsid w:val="00D81563"/>
    <w:rsid w:val="00D84B1D"/>
    <w:rsid w:val="00D92F01"/>
    <w:rsid w:val="00DB0C86"/>
    <w:rsid w:val="00DC0F09"/>
    <w:rsid w:val="00E45644"/>
    <w:rsid w:val="00E71509"/>
    <w:rsid w:val="00E71792"/>
    <w:rsid w:val="00E72F99"/>
    <w:rsid w:val="00F72982"/>
    <w:rsid w:val="00FE4A35"/>
    <w:rsid w:val="020A5512"/>
    <w:rsid w:val="02A17583"/>
    <w:rsid w:val="0478253D"/>
    <w:rsid w:val="06624721"/>
    <w:rsid w:val="08E86677"/>
    <w:rsid w:val="094D06E5"/>
    <w:rsid w:val="0FAD7322"/>
    <w:rsid w:val="10AA3894"/>
    <w:rsid w:val="11DF131B"/>
    <w:rsid w:val="17A62B41"/>
    <w:rsid w:val="1AB052D1"/>
    <w:rsid w:val="1ACC4407"/>
    <w:rsid w:val="1B487C8A"/>
    <w:rsid w:val="1DE3308C"/>
    <w:rsid w:val="1F6E4D1C"/>
    <w:rsid w:val="1F9E7846"/>
    <w:rsid w:val="201641C3"/>
    <w:rsid w:val="20EE4144"/>
    <w:rsid w:val="23026AF8"/>
    <w:rsid w:val="2ACB0237"/>
    <w:rsid w:val="2CAF0E58"/>
    <w:rsid w:val="2D1B5DB0"/>
    <w:rsid w:val="32423832"/>
    <w:rsid w:val="34943E76"/>
    <w:rsid w:val="3BBA4970"/>
    <w:rsid w:val="3E5008E2"/>
    <w:rsid w:val="3F28320D"/>
    <w:rsid w:val="423F255D"/>
    <w:rsid w:val="44EE3048"/>
    <w:rsid w:val="4D1C17A7"/>
    <w:rsid w:val="52A122EE"/>
    <w:rsid w:val="540A007A"/>
    <w:rsid w:val="56310FE7"/>
    <w:rsid w:val="580B31E7"/>
    <w:rsid w:val="5CFD429C"/>
    <w:rsid w:val="5E6F6E5D"/>
    <w:rsid w:val="5FF92B75"/>
    <w:rsid w:val="600F35CE"/>
    <w:rsid w:val="674D78F7"/>
    <w:rsid w:val="68E36170"/>
    <w:rsid w:val="6AD202AE"/>
    <w:rsid w:val="6B596BBE"/>
    <w:rsid w:val="6D0B3EE8"/>
    <w:rsid w:val="6F9E585E"/>
    <w:rsid w:val="6FF528E4"/>
    <w:rsid w:val="7484619F"/>
    <w:rsid w:val="77A411C1"/>
    <w:rsid w:val="78267406"/>
    <w:rsid w:val="7A805549"/>
    <w:rsid w:val="7B0C48CF"/>
    <w:rsid w:val="7B725DD5"/>
    <w:rsid w:val="7C351A43"/>
    <w:rsid w:val="7C6A1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djustRightInd w:val="0"/>
    </w:pPr>
    <w:rPr>
      <w:rFonts w:ascii="楷体_GB2312" w:eastAsia="楷体_GB2312" w:cs="仿宋"/>
      <w:b/>
    </w:r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szCs w:val="22"/>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99"/>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4129</Words>
  <Characters>4380</Characters>
  <Lines>32</Lines>
  <Paragraphs>9</Paragraphs>
  <TotalTime>1</TotalTime>
  <ScaleCrop>false</ScaleCrop>
  <LinksUpToDate>false</LinksUpToDate>
  <CharactersWithSpaces>4394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2024-11-21T02:27:00Z</dcterms:created>
  <dc:creator>Administrator</dc:creator>
  <cp:lastModifiedBy>张明君</cp:lastModifiedBy>
  <cp:lastPrinted>2023-08-23T08:05:00Z</cp:lastPrinted>
  <dcterms:modified xsi:type="dcterms:W3CDTF">2024-12-03T08:11:09Z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7CABF75260C540EBAC50A3C759A77B64_13</vt:lpwstr>
  </property>
</Properties>
</file>