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1E" w:rsidRDefault="009C441E">
      <w:pPr>
        <w:ind w:firstLine="1044"/>
        <w:jc w:val="center"/>
        <w:rPr>
          <w:rFonts w:ascii="方正小标宋简体" w:eastAsia="方正小标宋简体"/>
          <w:b/>
          <w:bCs/>
          <w:sz w:val="52"/>
          <w:szCs w:val="52"/>
        </w:rPr>
      </w:pPr>
      <w:bookmarkStart w:id="0" w:name="_GoBack"/>
      <w:bookmarkEnd w:id="0"/>
    </w:p>
    <w:p w:rsidR="009C441E" w:rsidRDefault="009C441E">
      <w:pPr>
        <w:ind w:firstLine="1044"/>
        <w:jc w:val="center"/>
        <w:rPr>
          <w:rFonts w:ascii="方正小标宋简体" w:eastAsia="方正小标宋简体"/>
          <w:b/>
          <w:bCs/>
          <w:sz w:val="52"/>
          <w:szCs w:val="52"/>
        </w:rPr>
      </w:pPr>
    </w:p>
    <w:p w:rsidR="009C441E" w:rsidRDefault="009C441E">
      <w:pPr>
        <w:jc w:val="center"/>
        <w:rPr>
          <w:rFonts w:ascii="宋体" w:hAnsi="宋体"/>
          <w:b/>
          <w:bCs/>
          <w:sz w:val="52"/>
          <w:szCs w:val="52"/>
        </w:rPr>
      </w:pPr>
    </w:p>
    <w:p w:rsidR="009C441E" w:rsidRDefault="003E12BB">
      <w:pPr>
        <w:jc w:val="center"/>
        <w:rPr>
          <w:rFonts w:ascii="宋体" w:hAnsi="宋体"/>
          <w:b/>
          <w:bCs/>
          <w:sz w:val="48"/>
          <w:szCs w:val="48"/>
        </w:rPr>
      </w:pPr>
      <w:r>
        <w:rPr>
          <w:rFonts w:ascii="宋体" w:hAnsi="宋体" w:hint="eastAsia"/>
          <w:b/>
          <w:bCs/>
          <w:sz w:val="48"/>
          <w:szCs w:val="48"/>
        </w:rPr>
        <w:t>广东省“</w:t>
      </w:r>
      <w:r>
        <w:rPr>
          <w:rFonts w:ascii="宋体" w:hAnsi="宋体" w:hint="eastAsia"/>
          <w:b/>
          <w:bCs/>
          <w:sz w:val="48"/>
          <w:szCs w:val="48"/>
        </w:rPr>
        <w:t>数字财政”单位会计核算</w:t>
      </w:r>
      <w:r>
        <w:rPr>
          <w:rFonts w:ascii="宋体" w:hAnsi="宋体" w:hint="eastAsia"/>
          <w:b/>
          <w:bCs/>
          <w:sz w:val="48"/>
          <w:szCs w:val="48"/>
        </w:rPr>
        <w:t>系统</w:t>
      </w:r>
      <w:r>
        <w:rPr>
          <w:rFonts w:ascii="宋体" w:hAnsi="宋体" w:hint="eastAsia"/>
          <w:b/>
          <w:bCs/>
          <w:sz w:val="48"/>
          <w:szCs w:val="48"/>
        </w:rPr>
        <w:t>会计核算数据导入操作手册</w:t>
      </w:r>
    </w:p>
    <w:p w:rsidR="009C441E" w:rsidRDefault="009C441E">
      <w:pPr>
        <w:tabs>
          <w:tab w:val="center" w:pos="4535"/>
          <w:tab w:val="left" w:pos="6030"/>
        </w:tabs>
        <w:ind w:firstLine="1044"/>
        <w:jc w:val="center"/>
        <w:rPr>
          <w:rFonts w:ascii="方正小标宋简体" w:eastAsia="方正小标宋简体"/>
          <w:b/>
          <w:bCs/>
          <w:sz w:val="52"/>
          <w:szCs w:val="52"/>
        </w:rPr>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640"/>
        <w:rPr>
          <w:color w:val="FF0000"/>
          <w:sz w:val="32"/>
          <w:szCs w:val="32"/>
        </w:rPr>
      </w:pPr>
    </w:p>
    <w:p w:rsidR="009C441E" w:rsidRDefault="009C441E">
      <w:pPr>
        <w:ind w:firstLineChars="600" w:firstLine="1920"/>
        <w:rPr>
          <w:color w:val="FF0000"/>
          <w:sz w:val="32"/>
          <w:szCs w:val="32"/>
        </w:rPr>
      </w:pPr>
    </w:p>
    <w:p w:rsidR="009C441E" w:rsidRDefault="003E12BB">
      <w:pPr>
        <w:ind w:firstLineChars="1050" w:firstLine="2940"/>
        <w:rPr>
          <w:rFonts w:ascii="宋体" w:hAnsi="宋体"/>
          <w:bCs/>
          <w:sz w:val="28"/>
          <w:szCs w:val="32"/>
        </w:rPr>
      </w:pPr>
      <w:r>
        <w:rPr>
          <w:rFonts w:ascii="宋体" w:hAnsi="宋体" w:hint="eastAsia"/>
          <w:bCs/>
          <w:sz w:val="28"/>
          <w:szCs w:val="32"/>
        </w:rPr>
        <w:t>广东省财政厅</w:t>
      </w:r>
    </w:p>
    <w:p w:rsidR="009C441E" w:rsidRDefault="003E12BB">
      <w:pPr>
        <w:ind w:firstLineChars="1100" w:firstLine="3080"/>
        <w:rPr>
          <w:sz w:val="24"/>
        </w:rPr>
      </w:pPr>
      <w:r>
        <w:rPr>
          <w:rFonts w:ascii="宋体" w:hAnsi="宋体" w:hint="eastAsia"/>
          <w:bCs/>
          <w:sz w:val="28"/>
          <w:szCs w:val="32"/>
        </w:rPr>
        <w:t>2021</w:t>
      </w:r>
      <w:r>
        <w:rPr>
          <w:rFonts w:ascii="宋体" w:hAnsi="宋体" w:hint="eastAsia"/>
          <w:bCs/>
          <w:sz w:val="28"/>
          <w:szCs w:val="32"/>
        </w:rPr>
        <w:t>年</w:t>
      </w:r>
      <w:r>
        <w:rPr>
          <w:rFonts w:ascii="宋体" w:hAnsi="宋体" w:hint="eastAsia"/>
          <w:bCs/>
          <w:sz w:val="28"/>
          <w:szCs w:val="32"/>
        </w:rPr>
        <w:t>6</w:t>
      </w:r>
      <w:r>
        <w:rPr>
          <w:rFonts w:ascii="宋体" w:hAnsi="宋体" w:hint="eastAsia"/>
          <w:bCs/>
          <w:sz w:val="28"/>
          <w:szCs w:val="32"/>
        </w:rPr>
        <w:t>月</w:t>
      </w:r>
      <w:r>
        <w:rPr>
          <w:sz w:val="24"/>
        </w:rPr>
        <w:t xml:space="preserve"> </w:t>
      </w:r>
    </w:p>
    <w:p w:rsidR="009C441E" w:rsidRDefault="003E12BB">
      <w:pPr>
        <w:widowControl/>
        <w:ind w:firstLine="480"/>
        <w:jc w:val="left"/>
        <w:rPr>
          <w:sz w:val="24"/>
        </w:rPr>
      </w:pPr>
      <w:r>
        <w:rPr>
          <w:sz w:val="24"/>
        </w:rPr>
        <w:br w:type="page"/>
      </w:r>
    </w:p>
    <w:sdt>
      <w:sdtPr>
        <w:rPr>
          <w:rFonts w:ascii="Times New Roman" w:eastAsia="宋体" w:hAnsi="Times New Roman" w:cs="Times New Roman"/>
          <w:b w:val="0"/>
          <w:bCs w:val="0"/>
          <w:color w:val="auto"/>
          <w:kern w:val="2"/>
          <w:sz w:val="21"/>
          <w:szCs w:val="24"/>
          <w:lang w:val="zh-CN"/>
        </w:rPr>
        <w:id w:val="1440798028"/>
        <w:docPartObj>
          <w:docPartGallery w:val="Table of Contents"/>
          <w:docPartUnique/>
        </w:docPartObj>
      </w:sdtPr>
      <w:sdtEndPr/>
      <w:sdtContent>
        <w:p w:rsidR="009C441E" w:rsidRDefault="003E12BB">
          <w:pPr>
            <w:pStyle w:val="TOC1"/>
            <w:ind w:firstLine="420"/>
          </w:pPr>
          <w:r>
            <w:rPr>
              <w:lang w:val="zh-CN"/>
            </w:rPr>
            <w:t>目录</w:t>
          </w:r>
        </w:p>
        <w:p w:rsidR="009C441E" w:rsidRDefault="003E12BB">
          <w:pPr>
            <w:pStyle w:val="10"/>
            <w:tabs>
              <w:tab w:val="right" w:leader="dot" w:pos="8306"/>
            </w:tabs>
          </w:pPr>
          <w:r>
            <w:fldChar w:fldCharType="begin"/>
          </w:r>
          <w:r>
            <w:instrText xml:space="preserve"> TOC \o "1-3" \h \z \u </w:instrText>
          </w:r>
          <w:r>
            <w:fldChar w:fldCharType="separate"/>
          </w:r>
          <w:hyperlink w:anchor="_Toc17664" w:history="1">
            <w:r>
              <w:rPr>
                <w:rFonts w:hint="eastAsia"/>
              </w:rPr>
              <w:t>前言</w:t>
            </w:r>
            <w:r>
              <w:tab/>
            </w:r>
            <w:r>
              <w:fldChar w:fldCharType="begin"/>
            </w:r>
            <w:r>
              <w:instrText xml:space="preserve"> PAGEREF _Toc17664 \h </w:instrText>
            </w:r>
            <w:r>
              <w:fldChar w:fldCharType="separate"/>
            </w:r>
            <w:r>
              <w:t>2</w:t>
            </w:r>
            <w:r>
              <w:fldChar w:fldCharType="end"/>
            </w:r>
          </w:hyperlink>
        </w:p>
        <w:p w:rsidR="009C441E" w:rsidRDefault="003E12BB">
          <w:pPr>
            <w:pStyle w:val="20"/>
            <w:tabs>
              <w:tab w:val="right" w:leader="dot" w:pos="8306"/>
            </w:tabs>
          </w:pPr>
          <w:hyperlink w:anchor="_Toc28566" w:history="1">
            <w:r>
              <w:rPr>
                <w:rFonts w:ascii="宋体" w:hAnsi="宋体" w:hint="eastAsia"/>
              </w:rPr>
              <w:t>方式一</w:t>
            </w:r>
            <w:r>
              <w:tab/>
            </w:r>
            <w:r>
              <w:fldChar w:fldCharType="begin"/>
            </w:r>
            <w:r>
              <w:instrText xml:space="preserve"> PAGEREF _Toc28566 \h </w:instrText>
            </w:r>
            <w:r>
              <w:fldChar w:fldCharType="separate"/>
            </w:r>
            <w:r>
              <w:t>3</w:t>
            </w:r>
            <w:r>
              <w:fldChar w:fldCharType="end"/>
            </w:r>
          </w:hyperlink>
        </w:p>
        <w:p w:rsidR="009C441E" w:rsidRDefault="003E12BB">
          <w:pPr>
            <w:pStyle w:val="30"/>
            <w:tabs>
              <w:tab w:val="right" w:leader="dot" w:pos="8306"/>
            </w:tabs>
          </w:pPr>
          <w:hyperlink w:anchor="_Toc8963" w:history="1">
            <w:r>
              <w:rPr>
                <w:rFonts w:ascii="宋体" w:hAnsi="宋体" w:hint="eastAsia"/>
              </w:rPr>
              <w:t>步骤一：会计账务处理</w:t>
            </w:r>
            <w:r>
              <w:tab/>
            </w:r>
            <w:r>
              <w:fldChar w:fldCharType="begin"/>
            </w:r>
            <w:r>
              <w:instrText xml:space="preserve"> PAGEREF _Toc8963 \h </w:instrText>
            </w:r>
            <w:r>
              <w:fldChar w:fldCharType="separate"/>
            </w:r>
            <w:r>
              <w:t>4</w:t>
            </w:r>
            <w:r>
              <w:fldChar w:fldCharType="end"/>
            </w:r>
          </w:hyperlink>
        </w:p>
        <w:p w:rsidR="009C441E" w:rsidRDefault="003E12BB">
          <w:pPr>
            <w:pStyle w:val="30"/>
            <w:tabs>
              <w:tab w:val="right" w:leader="dot" w:pos="8306"/>
            </w:tabs>
          </w:pPr>
          <w:hyperlink w:anchor="_Toc8031" w:history="1">
            <w:r>
              <w:rPr>
                <w:rFonts w:ascii="宋体" w:hAnsi="宋体" w:hint="eastAsia"/>
              </w:rPr>
              <w:t>步骤二：数据转换</w:t>
            </w:r>
            <w:r>
              <w:tab/>
            </w:r>
            <w:r>
              <w:fldChar w:fldCharType="begin"/>
            </w:r>
            <w:r>
              <w:instrText xml:space="preserve"> PAGEREF _Toc8031 \h </w:instrText>
            </w:r>
            <w:r>
              <w:fldChar w:fldCharType="separate"/>
            </w:r>
            <w:r>
              <w:t>4</w:t>
            </w:r>
            <w:r>
              <w:fldChar w:fldCharType="end"/>
            </w:r>
          </w:hyperlink>
        </w:p>
        <w:p w:rsidR="009C441E" w:rsidRDefault="003E12BB">
          <w:pPr>
            <w:pStyle w:val="30"/>
            <w:tabs>
              <w:tab w:val="right" w:leader="dot" w:pos="8306"/>
            </w:tabs>
          </w:pPr>
          <w:hyperlink w:anchor="_Toc5581" w:history="1">
            <w:r>
              <w:rPr>
                <w:rFonts w:ascii="宋体" w:hAnsi="宋体" w:hint="eastAsia"/>
              </w:rPr>
              <w:t>步骤三：账务数据导出</w:t>
            </w:r>
            <w:r>
              <w:tab/>
            </w:r>
            <w:r>
              <w:fldChar w:fldCharType="begin"/>
            </w:r>
            <w:r>
              <w:instrText xml:space="preserve"> PAGEREF _Toc5581 \h </w:instrText>
            </w:r>
            <w:r>
              <w:fldChar w:fldCharType="separate"/>
            </w:r>
            <w:r>
              <w:t>4</w:t>
            </w:r>
            <w:r>
              <w:fldChar w:fldCharType="end"/>
            </w:r>
          </w:hyperlink>
        </w:p>
        <w:p w:rsidR="009C441E" w:rsidRDefault="003E12BB">
          <w:pPr>
            <w:pStyle w:val="30"/>
            <w:tabs>
              <w:tab w:val="right" w:leader="dot" w:pos="8306"/>
            </w:tabs>
          </w:pPr>
          <w:hyperlink w:anchor="_Toc8626" w:history="1">
            <w:r>
              <w:rPr>
                <w:rFonts w:ascii="宋体" w:hAnsi="宋体" w:hint="eastAsia"/>
              </w:rPr>
              <w:t>步骤四：账务数据导入</w:t>
            </w:r>
            <w:r>
              <w:tab/>
            </w:r>
            <w:r>
              <w:fldChar w:fldCharType="begin"/>
            </w:r>
            <w:r>
              <w:instrText xml:space="preserve"> PAGEREF _Toc8626 \h </w:instrText>
            </w:r>
            <w:r>
              <w:fldChar w:fldCharType="separate"/>
            </w:r>
            <w:r>
              <w:t>5</w:t>
            </w:r>
            <w:r>
              <w:fldChar w:fldCharType="end"/>
            </w:r>
          </w:hyperlink>
        </w:p>
        <w:p w:rsidR="009C441E" w:rsidRDefault="003E12BB">
          <w:pPr>
            <w:pStyle w:val="30"/>
            <w:tabs>
              <w:tab w:val="right" w:leader="dot" w:pos="8306"/>
            </w:tabs>
          </w:pPr>
          <w:hyperlink w:anchor="_Toc23401" w:history="1">
            <w:r>
              <w:rPr>
                <w:rFonts w:ascii="宋体" w:hAnsi="宋体" w:hint="eastAsia"/>
              </w:rPr>
              <w:t>步骤五：国库单据挂接</w:t>
            </w:r>
            <w:r>
              <w:tab/>
            </w:r>
            <w:r>
              <w:fldChar w:fldCharType="begin"/>
            </w:r>
            <w:r>
              <w:instrText xml:space="preserve"> PAGEREF _Toc23401 \h </w:instrText>
            </w:r>
            <w:r>
              <w:fldChar w:fldCharType="separate"/>
            </w:r>
            <w:r>
              <w:t>6</w:t>
            </w:r>
            <w:r>
              <w:fldChar w:fldCharType="end"/>
            </w:r>
          </w:hyperlink>
        </w:p>
        <w:p w:rsidR="009C441E" w:rsidRDefault="003E12BB">
          <w:pPr>
            <w:pStyle w:val="20"/>
            <w:tabs>
              <w:tab w:val="right" w:leader="dot" w:pos="8306"/>
            </w:tabs>
          </w:pPr>
          <w:hyperlink w:anchor="_Toc21827" w:history="1">
            <w:r>
              <w:rPr>
                <w:rFonts w:ascii="宋体" w:hAnsi="宋体" w:hint="eastAsia"/>
              </w:rPr>
              <w:t>方式二</w:t>
            </w:r>
            <w:r>
              <w:tab/>
            </w:r>
            <w:r>
              <w:fldChar w:fldCharType="begin"/>
            </w:r>
            <w:r>
              <w:instrText xml:space="preserve"> PAGEREF _Toc21827 \h </w:instrText>
            </w:r>
            <w:r>
              <w:fldChar w:fldCharType="separate"/>
            </w:r>
            <w:r>
              <w:t>8</w:t>
            </w:r>
            <w:r>
              <w:fldChar w:fldCharType="end"/>
            </w:r>
          </w:hyperlink>
        </w:p>
        <w:p w:rsidR="009C441E" w:rsidRDefault="003E12BB">
          <w:pPr>
            <w:pStyle w:val="30"/>
            <w:tabs>
              <w:tab w:val="right" w:leader="dot" w:pos="8306"/>
            </w:tabs>
          </w:pPr>
          <w:hyperlink w:anchor="_Toc29995" w:history="1">
            <w:r>
              <w:rPr>
                <w:rFonts w:ascii="宋体" w:hAnsi="宋体" w:hint="eastAsia"/>
              </w:rPr>
              <w:t>步骤一：导出国库单据</w:t>
            </w:r>
            <w:r>
              <w:tab/>
            </w:r>
            <w:r>
              <w:fldChar w:fldCharType="begin"/>
            </w:r>
            <w:r>
              <w:instrText xml:space="preserve"> PAGEREF _Toc29995 \h </w:instrText>
            </w:r>
            <w:r>
              <w:fldChar w:fldCharType="separate"/>
            </w:r>
            <w:r>
              <w:t>9</w:t>
            </w:r>
            <w:r>
              <w:fldChar w:fldCharType="end"/>
            </w:r>
          </w:hyperlink>
        </w:p>
        <w:p w:rsidR="009C441E" w:rsidRDefault="003E12BB">
          <w:pPr>
            <w:pStyle w:val="30"/>
            <w:tabs>
              <w:tab w:val="right" w:leader="dot" w:pos="8306"/>
            </w:tabs>
          </w:pPr>
          <w:hyperlink w:anchor="_Toc9664" w:history="1">
            <w:r>
              <w:rPr>
                <w:rFonts w:ascii="宋体" w:hAnsi="宋体" w:hint="eastAsia"/>
              </w:rPr>
              <w:t>步骤二：导入国库单据</w:t>
            </w:r>
            <w:r>
              <w:tab/>
            </w:r>
            <w:r>
              <w:fldChar w:fldCharType="begin"/>
            </w:r>
            <w:r>
              <w:instrText xml:space="preserve"> PAGEREF _Toc9664 \h </w:instrText>
            </w:r>
            <w:r>
              <w:fldChar w:fldCharType="separate"/>
            </w:r>
            <w:r>
              <w:t>10</w:t>
            </w:r>
            <w:r>
              <w:fldChar w:fldCharType="end"/>
            </w:r>
          </w:hyperlink>
        </w:p>
        <w:p w:rsidR="009C441E" w:rsidRDefault="003E12BB">
          <w:pPr>
            <w:pStyle w:val="30"/>
            <w:tabs>
              <w:tab w:val="right" w:leader="dot" w:pos="8306"/>
            </w:tabs>
          </w:pPr>
          <w:hyperlink w:anchor="_Toc30986" w:history="1">
            <w:r>
              <w:rPr>
                <w:rFonts w:ascii="宋体" w:hAnsi="宋体" w:hint="eastAsia"/>
              </w:rPr>
              <w:t>步骤三：单据生成凭证</w:t>
            </w:r>
            <w:r>
              <w:rPr>
                <w:rFonts w:ascii="宋体" w:hAnsi="宋体" w:hint="eastAsia"/>
              </w:rPr>
              <w:t>/</w:t>
            </w:r>
            <w:r>
              <w:rPr>
                <w:rFonts w:ascii="宋体" w:hAnsi="宋体" w:hint="eastAsia"/>
              </w:rPr>
              <w:t>凭证挂接单据</w:t>
            </w:r>
            <w:r>
              <w:tab/>
            </w:r>
            <w:r>
              <w:fldChar w:fldCharType="begin"/>
            </w:r>
            <w:r>
              <w:instrText xml:space="preserve"> PAGEREF _Toc30986 \h </w:instrText>
            </w:r>
            <w:r>
              <w:fldChar w:fldCharType="separate"/>
            </w:r>
            <w:r>
              <w:t>10</w:t>
            </w:r>
            <w:r>
              <w:fldChar w:fldCharType="end"/>
            </w:r>
          </w:hyperlink>
        </w:p>
        <w:p w:rsidR="009C441E" w:rsidRDefault="003E12BB">
          <w:pPr>
            <w:pStyle w:val="30"/>
            <w:tabs>
              <w:tab w:val="right" w:leader="dot" w:pos="8306"/>
            </w:tabs>
          </w:pPr>
          <w:hyperlink w:anchor="_Toc20030" w:history="1">
            <w:r>
              <w:rPr>
                <w:rFonts w:ascii="宋体" w:hAnsi="宋体" w:hint="eastAsia"/>
              </w:rPr>
              <w:t>步骤四：账务数据导出</w:t>
            </w:r>
            <w:r>
              <w:tab/>
            </w:r>
            <w:r>
              <w:fldChar w:fldCharType="begin"/>
            </w:r>
            <w:r>
              <w:instrText xml:space="preserve"> PAGEREF _Toc20030 \h </w:instrText>
            </w:r>
            <w:r>
              <w:fldChar w:fldCharType="separate"/>
            </w:r>
            <w:r>
              <w:t>11</w:t>
            </w:r>
            <w:r>
              <w:fldChar w:fldCharType="end"/>
            </w:r>
          </w:hyperlink>
        </w:p>
        <w:p w:rsidR="009C441E" w:rsidRDefault="003E12BB">
          <w:pPr>
            <w:pStyle w:val="30"/>
            <w:tabs>
              <w:tab w:val="right" w:leader="dot" w:pos="8306"/>
            </w:tabs>
          </w:pPr>
          <w:hyperlink w:anchor="_Toc9945" w:history="1">
            <w:r>
              <w:rPr>
                <w:rFonts w:ascii="宋体" w:hAnsi="宋体" w:hint="eastAsia"/>
              </w:rPr>
              <w:t>步骤五：账务数据导入</w:t>
            </w:r>
            <w:r>
              <w:tab/>
            </w:r>
            <w:r>
              <w:fldChar w:fldCharType="begin"/>
            </w:r>
            <w:r>
              <w:instrText xml:space="preserve"> PAGEREF _Toc9945 \h </w:instrText>
            </w:r>
            <w:r>
              <w:fldChar w:fldCharType="separate"/>
            </w:r>
            <w:r>
              <w:t>11</w:t>
            </w:r>
            <w:r>
              <w:fldChar w:fldCharType="end"/>
            </w:r>
          </w:hyperlink>
        </w:p>
        <w:p w:rsidR="009C441E" w:rsidRDefault="003E12BB">
          <w:pPr>
            <w:ind w:firstLine="422"/>
          </w:pPr>
          <w:r>
            <w:rPr>
              <w:bCs/>
              <w:lang w:val="zh-CN"/>
            </w:rPr>
            <w:fldChar w:fldCharType="end"/>
          </w:r>
        </w:p>
      </w:sdtContent>
    </w:sdt>
    <w:p w:rsidR="009C441E" w:rsidRDefault="009C441E">
      <w:pPr>
        <w:ind w:firstLine="560"/>
        <w:jc w:val="center"/>
        <w:rPr>
          <w:rFonts w:ascii="宋体" w:hAnsi="宋体"/>
          <w:bCs/>
          <w:sz w:val="28"/>
          <w:szCs w:val="32"/>
        </w:rPr>
      </w:pPr>
    </w:p>
    <w:p w:rsidR="009C441E" w:rsidRDefault="003E12BB">
      <w:pPr>
        <w:widowControl/>
        <w:ind w:firstLine="560"/>
        <w:jc w:val="left"/>
        <w:rPr>
          <w:rFonts w:ascii="宋体" w:hAnsi="宋体"/>
          <w:bCs/>
          <w:sz w:val="28"/>
          <w:szCs w:val="32"/>
        </w:rPr>
      </w:pPr>
      <w:r>
        <w:rPr>
          <w:rFonts w:ascii="宋体" w:hAnsi="宋体"/>
          <w:bCs/>
          <w:sz w:val="28"/>
          <w:szCs w:val="32"/>
        </w:rPr>
        <w:br w:type="page"/>
      </w:r>
    </w:p>
    <w:p w:rsidR="009C441E" w:rsidRDefault="009C441E">
      <w:bookmarkStart w:id="1" w:name="_Toc526947670"/>
    </w:p>
    <w:p w:rsidR="009C441E" w:rsidRDefault="003E12BB">
      <w:pPr>
        <w:pStyle w:val="1"/>
        <w:rPr>
          <w:rFonts w:ascii="宋体" w:hAnsi="宋体" w:cs="宋体"/>
          <w:sz w:val="28"/>
          <w:szCs w:val="28"/>
        </w:rPr>
      </w:pPr>
      <w:bookmarkStart w:id="2" w:name="_Toc17664"/>
      <w:r>
        <w:rPr>
          <w:rFonts w:hint="eastAsia"/>
        </w:rPr>
        <w:t>前言</w:t>
      </w:r>
      <w:bookmarkEnd w:id="2"/>
    </w:p>
    <w:p w:rsidR="009C441E" w:rsidRDefault="003E12BB">
      <w:pPr>
        <w:spacing w:line="480" w:lineRule="auto"/>
        <w:ind w:firstLineChars="200" w:firstLine="560"/>
        <w:rPr>
          <w:rFonts w:ascii="宋体" w:hAnsi="宋体" w:cs="宋体"/>
          <w:sz w:val="28"/>
          <w:szCs w:val="28"/>
        </w:rPr>
      </w:pPr>
      <w:r>
        <w:rPr>
          <w:rFonts w:ascii="宋体" w:hAnsi="宋体" w:cs="宋体" w:hint="eastAsia"/>
          <w:sz w:val="28"/>
          <w:szCs w:val="28"/>
        </w:rPr>
        <w:t>按照广东省财政厅</w:t>
      </w:r>
      <w:r>
        <w:rPr>
          <w:rFonts w:ascii="宋体" w:hAnsi="宋体" w:cs="宋体" w:hint="eastAsia"/>
          <w:sz w:val="28"/>
          <w:szCs w:val="28"/>
        </w:rPr>
        <w:t>财务</w:t>
      </w:r>
      <w:r>
        <w:rPr>
          <w:rFonts w:ascii="宋体" w:hAnsi="宋体" w:cs="宋体" w:hint="eastAsia"/>
          <w:sz w:val="28"/>
          <w:szCs w:val="28"/>
        </w:rPr>
        <w:t>核算信息集中监管的</w:t>
      </w:r>
      <w:r>
        <w:rPr>
          <w:rFonts w:ascii="宋体" w:hAnsi="宋体" w:cs="宋体" w:hint="eastAsia"/>
          <w:sz w:val="28"/>
          <w:szCs w:val="28"/>
        </w:rPr>
        <w:t>有关</w:t>
      </w:r>
      <w:r>
        <w:rPr>
          <w:rFonts w:ascii="宋体" w:hAnsi="宋体" w:cs="宋体" w:hint="eastAsia"/>
          <w:sz w:val="28"/>
          <w:szCs w:val="28"/>
        </w:rPr>
        <w:t>要求，所有预算单位的财务核算数据</w:t>
      </w:r>
      <w:r>
        <w:rPr>
          <w:rFonts w:ascii="宋体" w:hAnsi="宋体" w:cs="宋体" w:hint="eastAsia"/>
          <w:sz w:val="28"/>
          <w:szCs w:val="28"/>
        </w:rPr>
        <w:t>均</w:t>
      </w:r>
      <w:r>
        <w:rPr>
          <w:rFonts w:ascii="宋体" w:hAnsi="宋体" w:cs="宋体" w:hint="eastAsia"/>
          <w:sz w:val="28"/>
          <w:szCs w:val="28"/>
        </w:rPr>
        <w:t>要纳入到</w:t>
      </w:r>
      <w:r>
        <w:rPr>
          <w:rFonts w:ascii="仿宋_GB2312" w:eastAsia="仿宋_GB2312" w:hAnsi="仿宋_GB2312" w:cs="仿宋_GB2312" w:hint="eastAsia"/>
          <w:sz w:val="28"/>
          <w:szCs w:val="28"/>
        </w:rPr>
        <w:t>“</w:t>
      </w:r>
      <w:r>
        <w:rPr>
          <w:rFonts w:ascii="宋体" w:hAnsi="宋体" w:cs="宋体" w:hint="eastAsia"/>
          <w:sz w:val="28"/>
          <w:szCs w:val="28"/>
        </w:rPr>
        <w:t>数字财政</w:t>
      </w:r>
      <w:r>
        <w:rPr>
          <w:rFonts w:ascii="仿宋_GB2312" w:eastAsia="仿宋_GB2312" w:hAnsi="仿宋_GB2312" w:cs="仿宋_GB2312" w:hint="eastAsia"/>
          <w:sz w:val="28"/>
          <w:szCs w:val="28"/>
        </w:rPr>
        <w:t>”</w:t>
      </w:r>
      <w:r>
        <w:rPr>
          <w:rFonts w:ascii="宋体" w:hAnsi="宋体" w:cs="宋体" w:hint="eastAsia"/>
          <w:sz w:val="28"/>
          <w:szCs w:val="28"/>
        </w:rPr>
        <w:t>单位会计核算</w:t>
      </w:r>
      <w:r>
        <w:rPr>
          <w:rFonts w:ascii="宋体" w:hAnsi="宋体" w:cs="宋体" w:hint="eastAsia"/>
          <w:sz w:val="28"/>
          <w:szCs w:val="28"/>
        </w:rPr>
        <w:t>系统中进行</w:t>
      </w:r>
      <w:r>
        <w:rPr>
          <w:rFonts w:ascii="宋体" w:hAnsi="宋体" w:cs="宋体" w:hint="eastAsia"/>
          <w:sz w:val="28"/>
          <w:szCs w:val="28"/>
        </w:rPr>
        <w:t>集中</w:t>
      </w:r>
      <w:r>
        <w:rPr>
          <w:rFonts w:ascii="宋体" w:hAnsi="宋体" w:cs="宋体" w:hint="eastAsia"/>
          <w:sz w:val="28"/>
          <w:szCs w:val="28"/>
        </w:rPr>
        <w:t>监管，</w:t>
      </w:r>
      <w:r>
        <w:rPr>
          <w:rFonts w:ascii="宋体" w:hAnsi="宋体" w:cs="宋体" w:hint="eastAsia"/>
          <w:sz w:val="28"/>
          <w:szCs w:val="28"/>
        </w:rPr>
        <w:t>并且</w:t>
      </w:r>
      <w:r>
        <w:rPr>
          <w:rFonts w:ascii="宋体" w:hAnsi="宋体" w:cs="宋体" w:hint="eastAsia"/>
          <w:sz w:val="28"/>
          <w:szCs w:val="28"/>
        </w:rPr>
        <w:t>财政资金</w:t>
      </w:r>
      <w:r>
        <w:rPr>
          <w:rFonts w:ascii="宋体" w:hAnsi="宋体" w:cs="宋体" w:hint="eastAsia"/>
          <w:sz w:val="28"/>
          <w:szCs w:val="28"/>
        </w:rPr>
        <w:t>会计核算</w:t>
      </w:r>
      <w:r>
        <w:rPr>
          <w:rFonts w:ascii="宋体" w:hAnsi="宋体" w:cs="宋体" w:hint="eastAsia"/>
          <w:sz w:val="28"/>
          <w:szCs w:val="28"/>
        </w:rPr>
        <w:t>明细</w:t>
      </w:r>
      <w:r>
        <w:rPr>
          <w:rFonts w:ascii="宋体" w:hAnsi="宋体" w:cs="宋体" w:hint="eastAsia"/>
          <w:sz w:val="28"/>
          <w:szCs w:val="28"/>
        </w:rPr>
        <w:t>需</w:t>
      </w:r>
      <w:r>
        <w:rPr>
          <w:rFonts w:ascii="宋体" w:hAnsi="宋体" w:cs="宋体" w:hint="eastAsia"/>
          <w:sz w:val="28"/>
          <w:szCs w:val="28"/>
        </w:rPr>
        <w:t>挂接国库业务单据。</w:t>
      </w:r>
    </w:p>
    <w:p w:rsidR="009C441E" w:rsidRDefault="003E12BB">
      <w:pPr>
        <w:spacing w:line="480" w:lineRule="auto"/>
        <w:ind w:firstLineChars="200" w:firstLine="560"/>
        <w:rPr>
          <w:rFonts w:ascii="宋体" w:hAnsi="宋体" w:cs="宋体"/>
          <w:sz w:val="28"/>
          <w:szCs w:val="28"/>
        </w:rPr>
      </w:pPr>
      <w:r>
        <w:rPr>
          <w:rFonts w:ascii="宋体" w:hAnsi="宋体" w:cs="宋体" w:hint="eastAsia"/>
          <w:sz w:val="28"/>
          <w:szCs w:val="28"/>
        </w:rPr>
        <w:t>原则上，预算单位应该在</w:t>
      </w:r>
      <w:r>
        <w:rPr>
          <w:rFonts w:ascii="仿宋_GB2312" w:eastAsia="仿宋_GB2312" w:hAnsi="仿宋_GB2312" w:cs="仿宋_GB2312" w:hint="eastAsia"/>
          <w:sz w:val="28"/>
          <w:szCs w:val="28"/>
        </w:rPr>
        <w:t>“</w:t>
      </w:r>
      <w:r>
        <w:rPr>
          <w:rFonts w:ascii="宋体" w:hAnsi="宋体" w:cs="宋体" w:hint="eastAsia"/>
          <w:sz w:val="28"/>
          <w:szCs w:val="28"/>
        </w:rPr>
        <w:t>数字财政</w:t>
      </w:r>
      <w:r>
        <w:rPr>
          <w:rFonts w:ascii="仿宋_GB2312" w:eastAsia="仿宋_GB2312" w:hAnsi="仿宋_GB2312" w:cs="仿宋_GB2312" w:hint="eastAsia"/>
          <w:sz w:val="28"/>
          <w:szCs w:val="28"/>
        </w:rPr>
        <w:t>”</w:t>
      </w:r>
      <w:r>
        <w:rPr>
          <w:rFonts w:ascii="宋体" w:hAnsi="宋体" w:cs="宋体" w:hint="eastAsia"/>
          <w:sz w:val="28"/>
          <w:szCs w:val="28"/>
        </w:rPr>
        <w:t>单位会计核算</w:t>
      </w:r>
      <w:r>
        <w:rPr>
          <w:rFonts w:ascii="宋体" w:hAnsi="宋体" w:cs="宋体" w:hint="eastAsia"/>
          <w:sz w:val="28"/>
          <w:szCs w:val="28"/>
        </w:rPr>
        <w:t>系统</w:t>
      </w:r>
      <w:r>
        <w:rPr>
          <w:rFonts w:ascii="宋体" w:hAnsi="宋体" w:cs="宋体" w:hint="eastAsia"/>
          <w:sz w:val="28"/>
          <w:szCs w:val="28"/>
        </w:rPr>
        <w:t>上直接记账，对于有特殊情况的单位，经财政部门审批后，可以采用</w:t>
      </w:r>
      <w:r>
        <w:rPr>
          <w:rFonts w:ascii="宋体" w:hAnsi="宋体" w:cs="宋体" w:hint="eastAsia"/>
          <w:sz w:val="28"/>
          <w:szCs w:val="28"/>
        </w:rPr>
        <w:t>在自有核算系统记账，通过数据导入的方式纳入监管。</w:t>
      </w:r>
    </w:p>
    <w:p w:rsidR="009C441E" w:rsidRDefault="003E12BB">
      <w:pPr>
        <w:spacing w:line="480" w:lineRule="auto"/>
        <w:ind w:firstLineChars="200" w:firstLine="560"/>
        <w:rPr>
          <w:rFonts w:ascii="宋体" w:hAnsi="宋体" w:cs="宋体"/>
          <w:sz w:val="28"/>
          <w:szCs w:val="28"/>
        </w:rPr>
      </w:pPr>
      <w:r>
        <w:rPr>
          <w:rFonts w:ascii="宋体" w:hAnsi="宋体" w:cs="宋体" w:hint="eastAsia"/>
          <w:sz w:val="28"/>
          <w:szCs w:val="28"/>
        </w:rPr>
        <w:t>为了使在自有核算系统记账，通过数据导入方式纳入监管的预算单位清晰了解数据导入的有关操作，特编制此操作手册。</w:t>
      </w:r>
    </w:p>
    <w:p w:rsidR="009C441E" w:rsidRDefault="003E12BB">
      <w:pPr>
        <w:spacing w:line="480" w:lineRule="auto"/>
        <w:ind w:firstLineChars="200" w:firstLine="560"/>
        <w:rPr>
          <w:rFonts w:ascii="宋体" w:hAnsi="宋体" w:cs="宋体"/>
          <w:sz w:val="28"/>
          <w:szCs w:val="28"/>
        </w:rPr>
      </w:pPr>
      <w:r>
        <w:rPr>
          <w:rFonts w:ascii="宋体" w:hAnsi="宋体" w:cs="宋体" w:hint="eastAsia"/>
          <w:sz w:val="28"/>
          <w:szCs w:val="28"/>
        </w:rPr>
        <w:t>单位在将会计核算数据导入到</w:t>
      </w:r>
      <w:r>
        <w:rPr>
          <w:rFonts w:ascii="仿宋_GB2312" w:eastAsia="仿宋_GB2312" w:hAnsi="仿宋_GB2312" w:cs="仿宋_GB2312" w:hint="eastAsia"/>
          <w:sz w:val="28"/>
          <w:szCs w:val="28"/>
        </w:rPr>
        <w:t>“</w:t>
      </w:r>
      <w:r>
        <w:rPr>
          <w:rFonts w:ascii="宋体" w:hAnsi="宋体" w:cs="宋体" w:hint="eastAsia"/>
          <w:sz w:val="28"/>
          <w:szCs w:val="28"/>
        </w:rPr>
        <w:t>数字财政</w:t>
      </w:r>
      <w:r>
        <w:rPr>
          <w:rFonts w:ascii="仿宋_GB2312" w:eastAsia="仿宋_GB2312" w:hAnsi="仿宋_GB2312" w:cs="仿宋_GB2312" w:hint="eastAsia"/>
          <w:sz w:val="28"/>
          <w:szCs w:val="28"/>
        </w:rPr>
        <w:t>”</w:t>
      </w:r>
      <w:r>
        <w:rPr>
          <w:rFonts w:ascii="宋体" w:hAnsi="宋体" w:cs="宋体" w:hint="eastAsia"/>
          <w:sz w:val="28"/>
          <w:szCs w:val="28"/>
        </w:rPr>
        <w:t>单位会计核算</w:t>
      </w:r>
      <w:r>
        <w:rPr>
          <w:rFonts w:ascii="宋体" w:hAnsi="宋体" w:cs="宋体" w:hint="eastAsia"/>
          <w:sz w:val="28"/>
          <w:szCs w:val="28"/>
        </w:rPr>
        <w:t>系统</w:t>
      </w:r>
      <w:r>
        <w:rPr>
          <w:rFonts w:ascii="宋体" w:hAnsi="宋体" w:cs="宋体" w:hint="eastAsia"/>
          <w:sz w:val="28"/>
          <w:szCs w:val="28"/>
        </w:rPr>
        <w:t>时</w:t>
      </w:r>
      <w:r>
        <w:rPr>
          <w:rFonts w:ascii="宋体" w:hAnsi="宋体" w:cs="宋体" w:hint="eastAsia"/>
          <w:sz w:val="28"/>
          <w:szCs w:val="28"/>
        </w:rPr>
        <w:t>，</w:t>
      </w:r>
      <w:r>
        <w:rPr>
          <w:rFonts w:ascii="宋体" w:hAnsi="宋体" w:cs="宋体" w:hint="eastAsia"/>
          <w:sz w:val="28"/>
          <w:szCs w:val="28"/>
        </w:rPr>
        <w:t>可以根据单位自身的有关情况，选择</w:t>
      </w:r>
      <w:r>
        <w:rPr>
          <w:rFonts w:ascii="宋体" w:hAnsi="宋体" w:cs="宋体" w:hint="eastAsia"/>
          <w:sz w:val="28"/>
          <w:szCs w:val="28"/>
        </w:rPr>
        <w:t>以下两种方式</w:t>
      </w:r>
      <w:r>
        <w:rPr>
          <w:rFonts w:ascii="宋体" w:hAnsi="宋体" w:cs="宋体" w:hint="eastAsia"/>
          <w:sz w:val="28"/>
          <w:szCs w:val="28"/>
        </w:rPr>
        <w:t>的其中一种</w:t>
      </w:r>
      <w:r>
        <w:rPr>
          <w:rFonts w:ascii="宋体" w:hAnsi="宋体" w:cs="宋体" w:hint="eastAsia"/>
          <w:sz w:val="28"/>
          <w:szCs w:val="28"/>
        </w:rPr>
        <w:t>：</w:t>
      </w:r>
    </w:p>
    <w:p w:rsidR="009C441E" w:rsidRDefault="003E12BB">
      <w:pPr>
        <w:spacing w:line="480" w:lineRule="auto"/>
        <w:ind w:firstLineChars="200" w:firstLine="560"/>
        <w:rPr>
          <w:rFonts w:ascii="宋体" w:hAnsi="宋体" w:cs="宋体"/>
          <w:sz w:val="28"/>
          <w:szCs w:val="28"/>
        </w:rPr>
      </w:pPr>
      <w:r>
        <w:rPr>
          <w:rFonts w:ascii="宋体" w:hAnsi="宋体" w:cs="宋体" w:hint="eastAsia"/>
          <w:sz w:val="28"/>
          <w:szCs w:val="28"/>
        </w:rPr>
        <w:t>方式一</w:t>
      </w:r>
      <w:r>
        <w:rPr>
          <w:rFonts w:ascii="宋体" w:hAnsi="宋体" w:cs="宋体" w:hint="eastAsia"/>
          <w:sz w:val="28"/>
          <w:szCs w:val="28"/>
        </w:rPr>
        <w:t>：</w:t>
      </w:r>
      <w:r>
        <w:rPr>
          <w:rFonts w:ascii="宋体" w:hAnsi="宋体" w:cs="宋体" w:hint="eastAsia"/>
          <w:sz w:val="28"/>
          <w:szCs w:val="28"/>
        </w:rPr>
        <w:t>单位导入会计凭证后在</w:t>
      </w:r>
      <w:r>
        <w:rPr>
          <w:rFonts w:ascii="仿宋_GB2312" w:eastAsia="仿宋_GB2312" w:hAnsi="仿宋_GB2312" w:cs="仿宋_GB2312" w:hint="eastAsia"/>
          <w:sz w:val="28"/>
          <w:szCs w:val="28"/>
        </w:rPr>
        <w:t>“</w:t>
      </w:r>
      <w:r>
        <w:rPr>
          <w:rFonts w:ascii="宋体" w:hAnsi="宋体" w:cs="宋体" w:hint="eastAsia"/>
          <w:sz w:val="28"/>
          <w:szCs w:val="28"/>
        </w:rPr>
        <w:t>数字财政</w:t>
      </w:r>
      <w:r>
        <w:rPr>
          <w:rFonts w:ascii="仿宋_GB2312" w:eastAsia="仿宋_GB2312" w:hAnsi="仿宋_GB2312" w:cs="仿宋_GB2312" w:hint="eastAsia"/>
          <w:sz w:val="28"/>
          <w:szCs w:val="28"/>
        </w:rPr>
        <w:t>”</w:t>
      </w:r>
      <w:r>
        <w:rPr>
          <w:rFonts w:ascii="宋体" w:hAnsi="宋体" w:cs="宋体" w:hint="eastAsia"/>
          <w:sz w:val="28"/>
          <w:szCs w:val="28"/>
        </w:rPr>
        <w:t>单位会计核算系统进行国</w:t>
      </w:r>
      <w:r>
        <w:rPr>
          <w:rFonts w:ascii="宋体" w:hAnsi="宋体" w:cs="宋体" w:hint="eastAsia"/>
          <w:sz w:val="28"/>
          <w:szCs w:val="28"/>
        </w:rPr>
        <w:t>库单据挂接。</w:t>
      </w:r>
    </w:p>
    <w:p w:rsidR="009C441E" w:rsidRDefault="003E12BB">
      <w:pPr>
        <w:spacing w:line="480" w:lineRule="auto"/>
        <w:ind w:firstLineChars="200" w:firstLine="560"/>
        <w:rPr>
          <w:rFonts w:ascii="宋体" w:hAnsi="宋体"/>
          <w:b/>
          <w:bCs/>
        </w:rPr>
      </w:pPr>
      <w:r>
        <w:rPr>
          <w:rFonts w:ascii="宋体" w:hAnsi="宋体" w:cs="宋体" w:hint="eastAsia"/>
          <w:sz w:val="28"/>
          <w:szCs w:val="28"/>
        </w:rPr>
        <w:t>方式二</w:t>
      </w:r>
      <w:r>
        <w:rPr>
          <w:rFonts w:ascii="宋体" w:hAnsi="宋体" w:cs="宋体" w:hint="eastAsia"/>
          <w:sz w:val="28"/>
          <w:szCs w:val="28"/>
        </w:rPr>
        <w:t>：</w:t>
      </w:r>
      <w:r>
        <w:rPr>
          <w:rFonts w:ascii="宋体" w:hAnsi="宋体" w:cs="宋体" w:hint="eastAsia"/>
          <w:sz w:val="28"/>
          <w:szCs w:val="28"/>
        </w:rPr>
        <w:t>单位导出国库单据，在单位</w:t>
      </w:r>
      <w:r>
        <w:rPr>
          <w:rFonts w:ascii="宋体" w:hAnsi="宋体" w:cs="宋体" w:hint="eastAsia"/>
          <w:sz w:val="28"/>
          <w:szCs w:val="28"/>
        </w:rPr>
        <w:t>自有</w:t>
      </w:r>
      <w:r>
        <w:rPr>
          <w:rFonts w:ascii="宋体" w:hAnsi="宋体" w:cs="宋体" w:hint="eastAsia"/>
          <w:sz w:val="28"/>
          <w:szCs w:val="28"/>
        </w:rPr>
        <w:t>核算系统挂接后，</w:t>
      </w:r>
      <w:r>
        <w:rPr>
          <w:rFonts w:ascii="宋体" w:hAnsi="宋体" w:cs="宋体" w:hint="eastAsia"/>
          <w:sz w:val="28"/>
          <w:szCs w:val="28"/>
        </w:rPr>
        <w:t>再将挂接后的数据</w:t>
      </w:r>
      <w:r>
        <w:rPr>
          <w:rFonts w:ascii="宋体" w:hAnsi="宋体" w:cs="宋体" w:hint="eastAsia"/>
          <w:sz w:val="28"/>
          <w:szCs w:val="28"/>
        </w:rPr>
        <w:t>导入</w:t>
      </w:r>
      <w:r>
        <w:rPr>
          <w:rFonts w:ascii="仿宋_GB2312" w:eastAsia="仿宋_GB2312" w:hAnsi="仿宋_GB2312" w:cs="仿宋_GB2312" w:hint="eastAsia"/>
          <w:sz w:val="28"/>
          <w:szCs w:val="28"/>
        </w:rPr>
        <w:t>“</w:t>
      </w:r>
      <w:r>
        <w:rPr>
          <w:rFonts w:ascii="宋体" w:hAnsi="宋体" w:cs="宋体" w:hint="eastAsia"/>
          <w:sz w:val="28"/>
          <w:szCs w:val="28"/>
        </w:rPr>
        <w:t>数字财政</w:t>
      </w:r>
      <w:r>
        <w:rPr>
          <w:rFonts w:ascii="仿宋_GB2312" w:eastAsia="仿宋_GB2312" w:hAnsi="仿宋_GB2312" w:cs="仿宋_GB2312" w:hint="eastAsia"/>
          <w:sz w:val="28"/>
          <w:szCs w:val="28"/>
        </w:rPr>
        <w:t>”</w:t>
      </w:r>
      <w:r>
        <w:rPr>
          <w:rFonts w:ascii="宋体" w:hAnsi="宋体" w:cs="宋体" w:hint="eastAsia"/>
          <w:sz w:val="28"/>
          <w:szCs w:val="28"/>
        </w:rPr>
        <w:t>单位会计核算系统。</w:t>
      </w: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 w:rsidR="009C441E" w:rsidRDefault="003E12BB">
      <w:pPr>
        <w:pStyle w:val="2"/>
        <w:ind w:firstLine="643"/>
        <w:rPr>
          <w:rFonts w:ascii="宋体" w:eastAsia="宋体" w:hAnsi="宋体"/>
        </w:rPr>
      </w:pPr>
      <w:bookmarkStart w:id="3" w:name="_Toc28566"/>
      <w:bookmarkEnd w:id="1"/>
      <w:r>
        <w:rPr>
          <w:rFonts w:ascii="宋体" w:eastAsia="宋体" w:hAnsi="宋体" w:hint="eastAsia"/>
        </w:rPr>
        <w:lastRenderedPageBreak/>
        <w:t>方式一</w:t>
      </w:r>
      <w:bookmarkEnd w:id="3"/>
    </w:p>
    <w:p w:rsidR="009C441E" w:rsidRDefault="003E12BB">
      <w:pPr>
        <w:spacing w:line="360" w:lineRule="auto"/>
        <w:ind w:firstLineChars="200" w:firstLine="480"/>
        <w:rPr>
          <w:rFonts w:ascii="宋体" w:hAnsi="宋体"/>
          <w:sz w:val="24"/>
        </w:rPr>
      </w:pPr>
      <w:r>
        <w:rPr>
          <w:rFonts w:ascii="宋体" w:hAnsi="宋体" w:hint="eastAsia"/>
          <w:sz w:val="24"/>
        </w:rPr>
        <w:t>整体流程如下图所示。</w:t>
      </w:r>
    </w:p>
    <w:p w:rsidR="009C441E" w:rsidRDefault="009C441E">
      <w:pPr>
        <w:spacing w:line="360" w:lineRule="auto"/>
        <w:ind w:firstLineChars="200" w:firstLine="480"/>
        <w:rPr>
          <w:rFonts w:ascii="宋体" w:hAnsi="宋体"/>
          <w:sz w:val="24"/>
        </w:rPr>
      </w:pPr>
    </w:p>
    <w:p w:rsidR="009C441E" w:rsidRDefault="003E12BB">
      <w:pPr>
        <w:spacing w:line="360" w:lineRule="auto"/>
        <w:rPr>
          <w:rFonts w:ascii="宋体" w:hAnsi="宋体"/>
          <w:b/>
          <w:sz w:val="24"/>
        </w:rPr>
      </w:pPr>
      <w:r>
        <w:rPr>
          <w:rFonts w:ascii="宋体" w:hAnsi="宋体" w:hint="eastAsia"/>
          <w:noProof/>
          <w:sz w:val="24"/>
        </w:rPr>
        <w:drawing>
          <wp:inline distT="0" distB="0" distL="114300" distR="114300">
            <wp:extent cx="4998720" cy="4507865"/>
            <wp:effectExtent l="0" t="0" r="11430" b="6985"/>
            <wp:docPr id="1" name="图片 1" descr="流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
                    <pic:cNvPicPr>
                      <a:picLocks noChangeAspect="1"/>
                    </pic:cNvPicPr>
                  </pic:nvPicPr>
                  <pic:blipFill>
                    <a:blip r:embed="rId9"/>
                    <a:stretch>
                      <a:fillRect/>
                    </a:stretch>
                  </pic:blipFill>
                  <pic:spPr>
                    <a:xfrm>
                      <a:off x="0" y="0"/>
                      <a:ext cx="4998720" cy="4507865"/>
                    </a:xfrm>
                    <a:prstGeom prst="rect">
                      <a:avLst/>
                    </a:prstGeom>
                  </pic:spPr>
                </pic:pic>
              </a:graphicData>
            </a:graphic>
          </wp:inline>
        </w:drawing>
      </w:r>
    </w:p>
    <w:p w:rsidR="009C441E" w:rsidRDefault="009C441E">
      <w:pPr>
        <w:spacing w:line="360" w:lineRule="auto"/>
        <w:ind w:firstLineChars="200" w:firstLine="482"/>
        <w:rPr>
          <w:rFonts w:ascii="宋体" w:hAnsi="宋体"/>
          <w:b/>
          <w:sz w:val="24"/>
        </w:rPr>
      </w:pPr>
    </w:p>
    <w:p w:rsidR="009C441E" w:rsidRDefault="009C441E">
      <w:pPr>
        <w:pStyle w:val="3"/>
        <w:ind w:firstLine="643"/>
        <w:rPr>
          <w:rFonts w:ascii="宋体" w:hAnsi="宋体"/>
        </w:rPr>
      </w:pPr>
    </w:p>
    <w:p w:rsidR="009C441E" w:rsidRDefault="009C441E">
      <w:pPr>
        <w:rPr>
          <w:rFonts w:ascii="宋体" w:hAnsi="宋体"/>
        </w:rPr>
      </w:pPr>
    </w:p>
    <w:p w:rsidR="009C441E" w:rsidRDefault="009C441E">
      <w:pPr>
        <w:rPr>
          <w:rFonts w:ascii="宋体" w:hAnsi="宋体"/>
        </w:rPr>
      </w:pPr>
    </w:p>
    <w:p w:rsidR="009C441E" w:rsidRDefault="009C441E">
      <w:pPr>
        <w:rPr>
          <w:rFonts w:ascii="宋体" w:hAnsi="宋体"/>
        </w:rPr>
      </w:pPr>
    </w:p>
    <w:p w:rsidR="009C441E" w:rsidRDefault="009C441E">
      <w:pPr>
        <w:rPr>
          <w:rFonts w:ascii="宋体" w:hAnsi="宋体"/>
        </w:rPr>
      </w:pPr>
    </w:p>
    <w:p w:rsidR="009C441E" w:rsidRDefault="009C441E">
      <w:pPr>
        <w:rPr>
          <w:rFonts w:ascii="宋体" w:hAnsi="宋体"/>
        </w:rPr>
      </w:pPr>
    </w:p>
    <w:p w:rsidR="009C441E" w:rsidRDefault="009C441E">
      <w:pPr>
        <w:rPr>
          <w:rFonts w:ascii="宋体" w:hAnsi="宋体"/>
        </w:rPr>
      </w:pPr>
    </w:p>
    <w:p w:rsidR="009C441E" w:rsidRDefault="009C441E">
      <w:pPr>
        <w:rPr>
          <w:rFonts w:ascii="宋体" w:hAnsi="宋体"/>
        </w:rPr>
      </w:pPr>
    </w:p>
    <w:p w:rsidR="009C441E" w:rsidRDefault="003E12BB">
      <w:pPr>
        <w:pStyle w:val="3"/>
        <w:ind w:firstLine="643"/>
        <w:rPr>
          <w:rFonts w:ascii="宋体" w:hAnsi="宋体"/>
        </w:rPr>
      </w:pPr>
      <w:bookmarkStart w:id="4" w:name="_Toc8963"/>
      <w:r>
        <w:rPr>
          <w:rFonts w:ascii="宋体" w:hAnsi="宋体" w:hint="eastAsia"/>
        </w:rPr>
        <w:lastRenderedPageBreak/>
        <w:t>步骤一：会计账务处理</w:t>
      </w:r>
      <w:bookmarkEnd w:id="4"/>
    </w:p>
    <w:p w:rsidR="009C441E" w:rsidRDefault="003E12BB">
      <w:pPr>
        <w:spacing w:line="360" w:lineRule="auto"/>
        <w:ind w:firstLineChars="200" w:firstLine="480"/>
        <w:rPr>
          <w:rFonts w:ascii="宋体" w:hAnsi="宋体"/>
          <w:sz w:val="24"/>
        </w:rPr>
      </w:pPr>
      <w:r>
        <w:rPr>
          <w:rFonts w:ascii="宋体" w:hAnsi="宋体" w:hint="eastAsia"/>
          <w:sz w:val="24"/>
        </w:rPr>
        <w:t>单位会计在单位</w:t>
      </w:r>
      <w:r>
        <w:rPr>
          <w:rFonts w:ascii="宋体" w:hAnsi="宋体" w:hint="eastAsia"/>
          <w:sz w:val="24"/>
        </w:rPr>
        <w:t>自有</w:t>
      </w:r>
      <w:r>
        <w:rPr>
          <w:rFonts w:ascii="宋体" w:hAnsi="宋体" w:hint="eastAsia"/>
          <w:sz w:val="24"/>
        </w:rPr>
        <w:t>核算系统进行记账。</w:t>
      </w:r>
    </w:p>
    <w:p w:rsidR="009C441E" w:rsidRDefault="009C441E">
      <w:pPr>
        <w:spacing w:line="360" w:lineRule="auto"/>
        <w:ind w:firstLine="480"/>
        <w:rPr>
          <w:rFonts w:ascii="宋体" w:hAnsi="宋体"/>
          <w:sz w:val="24"/>
        </w:rPr>
      </w:pPr>
    </w:p>
    <w:p w:rsidR="009C441E" w:rsidRDefault="003E12BB">
      <w:pPr>
        <w:pStyle w:val="3"/>
        <w:ind w:firstLine="643"/>
        <w:rPr>
          <w:rFonts w:ascii="宋体" w:hAnsi="宋体"/>
        </w:rPr>
      </w:pPr>
      <w:bookmarkStart w:id="5" w:name="_Toc8031"/>
      <w:r>
        <w:rPr>
          <w:rFonts w:ascii="宋体" w:hAnsi="宋体" w:hint="eastAsia"/>
        </w:rPr>
        <w:t>步骤二：数据转换</w:t>
      </w:r>
      <w:bookmarkEnd w:id="5"/>
    </w:p>
    <w:p w:rsidR="009C441E" w:rsidRDefault="003E12BB">
      <w:pPr>
        <w:spacing w:line="360" w:lineRule="auto"/>
        <w:ind w:firstLine="480"/>
        <w:rPr>
          <w:rFonts w:ascii="宋体" w:hAnsi="宋体"/>
          <w:sz w:val="24"/>
        </w:rPr>
      </w:pPr>
      <w:r>
        <w:rPr>
          <w:rFonts w:ascii="宋体" w:hAnsi="宋体" w:hint="eastAsia"/>
          <w:sz w:val="24"/>
        </w:rPr>
        <w:t>单位会计应统一在</w:t>
      </w:r>
      <w:r>
        <w:rPr>
          <w:rFonts w:ascii="宋体" w:hAnsi="宋体" w:hint="eastAsia"/>
          <w:sz w:val="24"/>
          <w:u w:val="single"/>
        </w:rPr>
        <w:t>单位</w:t>
      </w:r>
      <w:r>
        <w:rPr>
          <w:rFonts w:ascii="宋体" w:hAnsi="宋体" w:hint="eastAsia"/>
          <w:sz w:val="24"/>
          <w:u w:val="single"/>
        </w:rPr>
        <w:t>自有</w:t>
      </w:r>
      <w:r>
        <w:rPr>
          <w:rFonts w:ascii="宋体" w:hAnsi="宋体" w:hint="eastAsia"/>
          <w:sz w:val="24"/>
          <w:u w:val="single"/>
        </w:rPr>
        <w:t>会计核算系统</w:t>
      </w:r>
      <w:r>
        <w:rPr>
          <w:rFonts w:ascii="宋体" w:hAnsi="宋体" w:hint="eastAsia"/>
          <w:sz w:val="24"/>
        </w:rPr>
        <w:t>先整理设置符合规范且满足单位核算需要的会计科目和辅助项。</w:t>
      </w:r>
    </w:p>
    <w:p w:rsidR="009C441E" w:rsidRDefault="003E12BB">
      <w:pPr>
        <w:spacing w:line="360" w:lineRule="auto"/>
        <w:ind w:firstLine="480"/>
        <w:rPr>
          <w:rFonts w:ascii="宋体" w:hAnsi="宋体"/>
          <w:sz w:val="24"/>
        </w:rPr>
      </w:pPr>
      <w:r>
        <w:rPr>
          <w:rFonts w:ascii="宋体" w:hAnsi="宋体" w:hint="eastAsia"/>
          <w:sz w:val="24"/>
        </w:rPr>
        <w:t>在单位</w:t>
      </w:r>
      <w:r>
        <w:rPr>
          <w:rFonts w:ascii="宋体" w:hAnsi="宋体" w:hint="eastAsia"/>
          <w:sz w:val="24"/>
        </w:rPr>
        <w:t>自有</w:t>
      </w:r>
      <w:r>
        <w:rPr>
          <w:rFonts w:ascii="宋体" w:hAnsi="宋体" w:hint="eastAsia"/>
          <w:sz w:val="24"/>
        </w:rPr>
        <w:t>核算系统的账务数据，如果和以上整理的科目和辅助项不同，应在导出时进行数据转换，以确保顺利导入。例如，分录明细缺少了科目规范要求的辅助核算内容，则需要导出时补充核算内容；分录科目没使用规范的末级科目，则需要导出时改为使用末级科目。</w:t>
      </w:r>
    </w:p>
    <w:p w:rsidR="009C441E" w:rsidRDefault="003E12BB">
      <w:pPr>
        <w:spacing w:line="360" w:lineRule="auto"/>
        <w:ind w:firstLineChars="200" w:firstLine="480"/>
        <w:jc w:val="left"/>
        <w:rPr>
          <w:rFonts w:ascii="宋体" w:hAnsi="宋体"/>
          <w:sz w:val="24"/>
        </w:rPr>
      </w:pPr>
      <w:r>
        <w:rPr>
          <w:rFonts w:ascii="宋体" w:hAnsi="宋体" w:hint="eastAsia"/>
          <w:sz w:val="24"/>
        </w:rPr>
        <w:t>如果相同则不需要数据转换，直接导出即可。</w:t>
      </w:r>
    </w:p>
    <w:p w:rsidR="009C441E" w:rsidRDefault="009C441E">
      <w:pPr>
        <w:spacing w:line="360" w:lineRule="auto"/>
        <w:ind w:firstLineChars="200" w:firstLine="480"/>
        <w:rPr>
          <w:rFonts w:ascii="宋体" w:hAnsi="宋体"/>
          <w:sz w:val="24"/>
        </w:rPr>
      </w:pPr>
    </w:p>
    <w:p w:rsidR="009C441E" w:rsidRDefault="009C441E">
      <w:pPr>
        <w:ind w:firstLine="480"/>
        <w:jc w:val="center"/>
        <w:rPr>
          <w:sz w:val="24"/>
        </w:rPr>
      </w:pPr>
    </w:p>
    <w:p w:rsidR="009C441E" w:rsidRDefault="003E12BB">
      <w:pPr>
        <w:pStyle w:val="3"/>
        <w:ind w:firstLine="643"/>
        <w:rPr>
          <w:rFonts w:ascii="宋体" w:hAnsi="宋体"/>
        </w:rPr>
      </w:pPr>
      <w:bookmarkStart w:id="6" w:name="_Toc5581"/>
      <w:r>
        <w:rPr>
          <w:rFonts w:ascii="宋体" w:hAnsi="宋体" w:hint="eastAsia"/>
        </w:rPr>
        <w:t>步骤三：账务数据导出</w:t>
      </w:r>
      <w:bookmarkEnd w:id="6"/>
    </w:p>
    <w:p w:rsidR="009C441E" w:rsidRDefault="003E12BB">
      <w:pPr>
        <w:spacing w:line="360" w:lineRule="auto"/>
        <w:ind w:firstLineChars="200" w:firstLine="480"/>
        <w:jc w:val="left"/>
      </w:pPr>
      <w:r>
        <w:rPr>
          <w:rFonts w:ascii="宋体" w:hAnsi="宋体" w:hint="eastAsia"/>
          <w:sz w:val="24"/>
        </w:rPr>
        <w:t>在单位</w:t>
      </w:r>
      <w:r>
        <w:rPr>
          <w:rFonts w:ascii="宋体" w:hAnsi="宋体" w:hint="eastAsia"/>
          <w:sz w:val="24"/>
        </w:rPr>
        <w:t>自有</w:t>
      </w:r>
      <w:r>
        <w:rPr>
          <w:rFonts w:ascii="宋体" w:hAnsi="宋体" w:hint="eastAsia"/>
          <w:sz w:val="24"/>
        </w:rPr>
        <w:t>核算系统把账务数据导出为</w:t>
      </w:r>
      <w:r>
        <w:rPr>
          <w:rFonts w:ascii="宋体" w:hAnsi="宋体" w:hint="eastAsia"/>
          <w:sz w:val="24"/>
        </w:rPr>
        <w:t>XML</w:t>
      </w:r>
      <w:r>
        <w:rPr>
          <w:rFonts w:ascii="宋体" w:hAnsi="宋体" w:hint="eastAsia"/>
          <w:sz w:val="24"/>
        </w:rPr>
        <w:t>文件，具体的账务数据导出操作步骤以单位</w:t>
      </w:r>
      <w:r>
        <w:rPr>
          <w:rFonts w:ascii="宋体" w:hAnsi="宋体" w:hint="eastAsia"/>
          <w:sz w:val="24"/>
        </w:rPr>
        <w:t>自有</w:t>
      </w:r>
      <w:r>
        <w:rPr>
          <w:rFonts w:ascii="宋体" w:hAnsi="宋体" w:hint="eastAsia"/>
          <w:sz w:val="24"/>
        </w:rPr>
        <w:t>核算系统为准。</w:t>
      </w:r>
      <w:r>
        <w:br w:type="page"/>
      </w:r>
    </w:p>
    <w:p w:rsidR="009C441E" w:rsidRDefault="003E12BB">
      <w:pPr>
        <w:pStyle w:val="3"/>
        <w:ind w:firstLine="643"/>
        <w:rPr>
          <w:rFonts w:ascii="宋体" w:hAnsi="宋体"/>
        </w:rPr>
      </w:pPr>
      <w:bookmarkStart w:id="7" w:name="_Toc8626"/>
      <w:r>
        <w:rPr>
          <w:rFonts w:ascii="宋体" w:hAnsi="宋体" w:hint="eastAsia"/>
        </w:rPr>
        <w:lastRenderedPageBreak/>
        <w:t>步骤四：账务数据导入</w:t>
      </w:r>
      <w:bookmarkEnd w:id="7"/>
    </w:p>
    <w:p w:rsidR="009C441E" w:rsidRDefault="003E12BB">
      <w:pPr>
        <w:spacing w:line="360" w:lineRule="auto"/>
        <w:ind w:firstLineChars="200" w:firstLine="480"/>
        <w:jc w:val="left"/>
        <w:rPr>
          <w:rFonts w:ascii="宋体" w:hAnsi="宋体"/>
          <w:sz w:val="24"/>
        </w:rPr>
      </w:pPr>
      <w:r>
        <w:rPr>
          <w:rFonts w:hint="eastAsia"/>
          <w:sz w:val="24"/>
        </w:rPr>
        <w:t>把</w:t>
      </w:r>
      <w:r>
        <w:rPr>
          <w:rFonts w:ascii="宋体" w:hAnsi="宋体" w:hint="eastAsia"/>
          <w:sz w:val="24"/>
        </w:rPr>
        <w:t>单位</w:t>
      </w:r>
      <w:r>
        <w:rPr>
          <w:rFonts w:ascii="宋体" w:hAnsi="宋体" w:hint="eastAsia"/>
          <w:sz w:val="24"/>
        </w:rPr>
        <w:t>自有</w:t>
      </w:r>
      <w:r>
        <w:rPr>
          <w:rFonts w:ascii="宋体" w:hAnsi="宋体" w:hint="eastAsia"/>
          <w:sz w:val="24"/>
        </w:rPr>
        <w:t>核算系统导出的</w:t>
      </w:r>
      <w:r>
        <w:rPr>
          <w:rFonts w:hint="eastAsia"/>
          <w:sz w:val="24"/>
        </w:rPr>
        <w:t>账务数据加密文件在内网电脑准备好，登录“数字政府”公共综合平台，点击右上角的岗位切换下拉按钮，选到会计经办角色。切换岗位后，页面左侧会出现对应的“单位会计核算”菜单栏，进入</w:t>
      </w:r>
      <w:r>
        <w:rPr>
          <w:rFonts w:ascii="宋体" w:hAnsi="宋体" w:hint="eastAsia"/>
          <w:sz w:val="24"/>
        </w:rPr>
        <w:t>【数据交换】—【数据导入导出】—【财务数据交换】。如下图所示。</w:t>
      </w:r>
    </w:p>
    <w:p w:rsidR="009C441E" w:rsidRDefault="003E12BB">
      <w:pPr>
        <w:spacing w:line="360" w:lineRule="auto"/>
        <w:jc w:val="left"/>
        <w:rPr>
          <w:sz w:val="24"/>
        </w:rPr>
      </w:pPr>
      <w:r>
        <w:rPr>
          <w:noProof/>
        </w:rPr>
        <w:drawing>
          <wp:inline distT="0" distB="0" distL="114300" distR="114300">
            <wp:extent cx="5272405" cy="2836545"/>
            <wp:effectExtent l="0" t="0" r="444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5272405" cy="2836545"/>
                    </a:xfrm>
                    <a:prstGeom prst="rect">
                      <a:avLst/>
                    </a:prstGeom>
                    <a:noFill/>
                    <a:ln>
                      <a:noFill/>
                    </a:ln>
                  </pic:spPr>
                </pic:pic>
              </a:graphicData>
            </a:graphic>
          </wp:inline>
        </w:drawing>
      </w:r>
    </w:p>
    <w:p w:rsidR="009C441E" w:rsidRDefault="009C441E">
      <w:pPr>
        <w:jc w:val="left"/>
      </w:pPr>
    </w:p>
    <w:p w:rsidR="009C441E" w:rsidRDefault="003E12BB">
      <w:pPr>
        <w:spacing w:line="360" w:lineRule="auto"/>
        <w:ind w:firstLine="420"/>
        <w:jc w:val="left"/>
        <w:rPr>
          <w:sz w:val="24"/>
        </w:rPr>
      </w:pPr>
      <w:r>
        <w:rPr>
          <w:rFonts w:hint="eastAsia"/>
          <w:sz w:val="24"/>
        </w:rPr>
        <w:t>在菜单界面点击凭证导入，注意切换单位账套，选择文件，点击【打开】。如下图所示。</w:t>
      </w:r>
    </w:p>
    <w:p w:rsidR="009C441E" w:rsidRDefault="009C441E">
      <w:pPr>
        <w:ind w:firstLineChars="200" w:firstLine="480"/>
        <w:jc w:val="left"/>
        <w:rPr>
          <w:rFonts w:ascii="宋体" w:hAnsi="宋体"/>
          <w:sz w:val="24"/>
        </w:rPr>
      </w:pPr>
    </w:p>
    <w:p w:rsidR="009C441E" w:rsidRDefault="003E12BB">
      <w:pPr>
        <w:jc w:val="left"/>
      </w:pPr>
      <w:r>
        <w:rPr>
          <w:noProof/>
        </w:rPr>
        <w:drawing>
          <wp:inline distT="0" distB="0" distL="114300" distR="114300">
            <wp:extent cx="5269230" cy="3084195"/>
            <wp:effectExtent l="0" t="0" r="7620" b="190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269230" cy="3084195"/>
                    </a:xfrm>
                    <a:prstGeom prst="rect">
                      <a:avLst/>
                    </a:prstGeom>
                    <a:noFill/>
                    <a:ln>
                      <a:noFill/>
                    </a:ln>
                  </pic:spPr>
                </pic:pic>
              </a:graphicData>
            </a:graphic>
          </wp:inline>
        </w:drawing>
      </w:r>
    </w:p>
    <w:p w:rsidR="009C441E" w:rsidRDefault="009C441E">
      <w:pPr>
        <w:ind w:firstLine="420"/>
        <w:jc w:val="left"/>
        <w:rPr>
          <w:rFonts w:ascii="宋体" w:hAnsi="宋体"/>
          <w:sz w:val="24"/>
        </w:rPr>
      </w:pPr>
    </w:p>
    <w:p w:rsidR="009C441E" w:rsidRDefault="003E12BB">
      <w:pPr>
        <w:spacing w:line="360" w:lineRule="auto"/>
        <w:ind w:firstLine="420"/>
        <w:jc w:val="left"/>
        <w:rPr>
          <w:sz w:val="24"/>
        </w:rPr>
      </w:pPr>
      <w:r>
        <w:rPr>
          <w:rFonts w:hint="eastAsia"/>
          <w:sz w:val="24"/>
        </w:rPr>
        <w:t>页面提示“正在导入中，请稍候”，说明数据正在分析处理，请勿关闭数据交换菜单。在看到凭证数据导入界面中出现导入成功，可点击查看详细信息。在收到系统反馈的详细信息后，可按“导入测试反馈常见问题</w:t>
      </w:r>
      <w:r>
        <w:rPr>
          <w:rFonts w:hint="eastAsia"/>
          <w:sz w:val="24"/>
        </w:rPr>
        <w:t>QA</w:t>
      </w:r>
      <w:r>
        <w:rPr>
          <w:rFonts w:hint="eastAsia"/>
          <w:sz w:val="24"/>
        </w:rPr>
        <w:t>”自助解决，若无对应解决方案或无法解决，请</w:t>
      </w:r>
      <w:r>
        <w:rPr>
          <w:rFonts w:hint="eastAsia"/>
          <w:sz w:val="24"/>
        </w:rPr>
        <w:t>向运维团队</w:t>
      </w:r>
      <w:r>
        <w:rPr>
          <w:rFonts w:hint="eastAsia"/>
          <w:sz w:val="24"/>
        </w:rPr>
        <w:t>反馈问题。</w:t>
      </w:r>
    </w:p>
    <w:p w:rsidR="009C441E" w:rsidRDefault="009C441E">
      <w:pPr>
        <w:spacing w:line="360" w:lineRule="auto"/>
        <w:ind w:firstLine="420"/>
        <w:jc w:val="left"/>
        <w:rPr>
          <w:sz w:val="24"/>
        </w:rPr>
      </w:pPr>
    </w:p>
    <w:p w:rsidR="009C441E" w:rsidRDefault="009C441E">
      <w:pPr>
        <w:spacing w:line="360" w:lineRule="auto"/>
        <w:jc w:val="left"/>
        <w:rPr>
          <w:sz w:val="24"/>
        </w:rPr>
      </w:pPr>
    </w:p>
    <w:p w:rsidR="009C441E" w:rsidRDefault="003E12BB">
      <w:pPr>
        <w:pStyle w:val="3"/>
        <w:ind w:firstLine="643"/>
        <w:rPr>
          <w:rFonts w:ascii="宋体" w:hAnsi="宋体"/>
        </w:rPr>
      </w:pPr>
      <w:bookmarkStart w:id="8" w:name="_Toc23401"/>
      <w:r>
        <w:rPr>
          <w:rFonts w:ascii="宋体" w:hAnsi="宋体" w:hint="eastAsia"/>
        </w:rPr>
        <w:t>步骤五：国库单据挂接</w:t>
      </w:r>
      <w:bookmarkEnd w:id="8"/>
    </w:p>
    <w:p w:rsidR="009C441E" w:rsidRDefault="003E12BB">
      <w:pPr>
        <w:spacing w:line="360" w:lineRule="auto"/>
        <w:ind w:firstLine="420"/>
        <w:jc w:val="left"/>
        <w:rPr>
          <w:sz w:val="24"/>
        </w:rPr>
      </w:pPr>
      <w:r>
        <w:rPr>
          <w:rFonts w:hint="eastAsia"/>
          <w:sz w:val="24"/>
        </w:rPr>
        <w:t>在【凭证箱】页面，点击具体凭证打开凭证录入界面，点击右上角【国库单据挂接】，可打开挂接页面。挂接时，勾选需要挂接的分录和单据，点挂接即可。单次挂接支持单张单据挂接多条分录、或者单条分录挂接多张单据，一张凭证含有多条分录、多张单据时</w:t>
      </w:r>
      <w:r>
        <w:rPr>
          <w:rFonts w:hint="eastAsia"/>
          <w:sz w:val="24"/>
        </w:rPr>
        <w:t>，请分次挂接。</w:t>
      </w:r>
    </w:p>
    <w:p w:rsidR="009C441E" w:rsidRDefault="009C441E">
      <w:pPr>
        <w:ind w:firstLine="420"/>
        <w:jc w:val="left"/>
      </w:pPr>
    </w:p>
    <w:p w:rsidR="009C441E" w:rsidRDefault="003E12BB">
      <w:pPr>
        <w:spacing w:line="360" w:lineRule="auto"/>
        <w:ind w:firstLine="420"/>
        <w:jc w:val="left"/>
        <w:rPr>
          <w:sz w:val="24"/>
        </w:rPr>
      </w:pPr>
      <w:r>
        <w:rPr>
          <w:rFonts w:hint="eastAsia"/>
          <w:sz w:val="24"/>
        </w:rPr>
        <w:t>一张凭证中存在多条分录挂接一张单据，如下图，选择对应单据和分录勾选后点挂接。如下图所示。</w:t>
      </w:r>
    </w:p>
    <w:p w:rsidR="009C441E" w:rsidRDefault="009C441E">
      <w:pPr>
        <w:spacing w:line="360" w:lineRule="auto"/>
        <w:ind w:firstLine="420"/>
        <w:jc w:val="left"/>
        <w:rPr>
          <w:sz w:val="24"/>
        </w:rPr>
      </w:pPr>
    </w:p>
    <w:p w:rsidR="009C441E" w:rsidRDefault="003E12BB">
      <w:pPr>
        <w:spacing w:line="360" w:lineRule="auto"/>
        <w:jc w:val="left"/>
      </w:pPr>
      <w:r>
        <w:rPr>
          <w:noProof/>
        </w:rPr>
        <w:drawing>
          <wp:inline distT="0" distB="0" distL="114300" distR="114300">
            <wp:extent cx="5269230" cy="2299970"/>
            <wp:effectExtent l="0" t="0" r="7620" b="508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2"/>
                    <a:stretch>
                      <a:fillRect/>
                    </a:stretch>
                  </pic:blipFill>
                  <pic:spPr>
                    <a:xfrm>
                      <a:off x="0" y="0"/>
                      <a:ext cx="5269230" cy="2299970"/>
                    </a:xfrm>
                    <a:prstGeom prst="rect">
                      <a:avLst/>
                    </a:prstGeom>
                    <a:noFill/>
                    <a:ln>
                      <a:noFill/>
                    </a:ln>
                  </pic:spPr>
                </pic:pic>
              </a:graphicData>
            </a:graphic>
          </wp:inline>
        </w:drawing>
      </w:r>
    </w:p>
    <w:p w:rsidR="009C441E" w:rsidRDefault="009C441E">
      <w:pPr>
        <w:spacing w:line="360" w:lineRule="auto"/>
        <w:jc w:val="left"/>
      </w:pPr>
    </w:p>
    <w:p w:rsidR="009C441E" w:rsidRDefault="003E12BB">
      <w:pPr>
        <w:spacing w:line="360" w:lineRule="auto"/>
        <w:ind w:firstLine="420"/>
        <w:jc w:val="left"/>
        <w:rPr>
          <w:sz w:val="24"/>
        </w:rPr>
      </w:pPr>
      <w:r>
        <w:rPr>
          <w:rFonts w:hint="eastAsia"/>
          <w:sz w:val="24"/>
        </w:rPr>
        <w:t>一张凭证中存在一条分录挂接多笔单据，如下图，选择对应单据和分录勾选后点挂接。如下图所示。</w:t>
      </w:r>
    </w:p>
    <w:p w:rsidR="009C441E" w:rsidRDefault="003E12BB">
      <w:pPr>
        <w:spacing w:line="360" w:lineRule="auto"/>
        <w:jc w:val="left"/>
      </w:pPr>
      <w:r>
        <w:rPr>
          <w:noProof/>
        </w:rPr>
        <w:lastRenderedPageBreak/>
        <w:drawing>
          <wp:inline distT="0" distB="0" distL="114300" distR="114300">
            <wp:extent cx="5268595" cy="2307590"/>
            <wp:effectExtent l="0" t="0" r="825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5268595" cy="2307590"/>
                    </a:xfrm>
                    <a:prstGeom prst="rect">
                      <a:avLst/>
                    </a:prstGeom>
                    <a:noFill/>
                    <a:ln>
                      <a:noFill/>
                    </a:ln>
                  </pic:spPr>
                </pic:pic>
              </a:graphicData>
            </a:graphic>
          </wp:inline>
        </w:drawing>
      </w:r>
    </w:p>
    <w:p w:rsidR="009C441E" w:rsidRDefault="009C441E">
      <w:pPr>
        <w:spacing w:line="360" w:lineRule="auto"/>
        <w:jc w:val="left"/>
      </w:pPr>
    </w:p>
    <w:p w:rsidR="009C441E" w:rsidRDefault="003E12BB">
      <w:pPr>
        <w:spacing w:line="360" w:lineRule="auto"/>
        <w:ind w:firstLine="420"/>
        <w:jc w:val="left"/>
        <w:rPr>
          <w:sz w:val="24"/>
        </w:rPr>
      </w:pPr>
      <w:r>
        <w:rPr>
          <w:rFonts w:hint="eastAsia"/>
          <w:sz w:val="24"/>
        </w:rPr>
        <w:t>如无问题，如下图所示，系统会提示“挂接成功”，在右下方【已挂接分录】可见具体挂接信息。</w:t>
      </w:r>
    </w:p>
    <w:p w:rsidR="009C441E" w:rsidRDefault="003E12BB">
      <w:pPr>
        <w:spacing w:line="360" w:lineRule="auto"/>
        <w:jc w:val="left"/>
      </w:pPr>
      <w:r>
        <w:rPr>
          <w:noProof/>
        </w:rPr>
        <w:drawing>
          <wp:inline distT="0" distB="0" distL="114300" distR="114300">
            <wp:extent cx="5259070" cy="2192655"/>
            <wp:effectExtent l="0" t="0" r="17780" b="171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4"/>
                    <a:stretch>
                      <a:fillRect/>
                    </a:stretch>
                  </pic:blipFill>
                  <pic:spPr>
                    <a:xfrm>
                      <a:off x="0" y="0"/>
                      <a:ext cx="5259070" cy="2192655"/>
                    </a:xfrm>
                    <a:prstGeom prst="rect">
                      <a:avLst/>
                    </a:prstGeom>
                    <a:noFill/>
                    <a:ln>
                      <a:noFill/>
                    </a:ln>
                  </pic:spPr>
                </pic:pic>
              </a:graphicData>
            </a:graphic>
          </wp:inline>
        </w:drawing>
      </w:r>
    </w:p>
    <w:p w:rsidR="009C441E" w:rsidRDefault="009C441E">
      <w:pPr>
        <w:spacing w:line="360" w:lineRule="auto"/>
        <w:jc w:val="left"/>
      </w:pPr>
    </w:p>
    <w:p w:rsidR="009C441E" w:rsidRDefault="003E12BB">
      <w:pPr>
        <w:spacing w:line="360" w:lineRule="auto"/>
        <w:ind w:firstLine="420"/>
        <w:jc w:val="left"/>
        <w:rPr>
          <w:sz w:val="24"/>
        </w:rPr>
      </w:pPr>
      <w:r>
        <w:rPr>
          <w:rFonts w:hint="eastAsia"/>
          <w:sz w:val="24"/>
        </w:rPr>
        <w:t>如果挂接失败，如下图所示，系统会提示挂接失败原因。</w:t>
      </w:r>
    </w:p>
    <w:p w:rsidR="009C441E" w:rsidRDefault="003E12BB">
      <w:pPr>
        <w:spacing w:line="360" w:lineRule="auto"/>
        <w:jc w:val="left"/>
        <w:rPr>
          <w:sz w:val="24"/>
        </w:rPr>
      </w:pPr>
      <w:r>
        <w:rPr>
          <w:noProof/>
        </w:rPr>
        <w:drawing>
          <wp:inline distT="0" distB="0" distL="114300" distR="114300">
            <wp:extent cx="5273040" cy="2274570"/>
            <wp:effectExtent l="0" t="0" r="3810" b="1143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5"/>
                    <a:stretch>
                      <a:fillRect/>
                    </a:stretch>
                  </pic:blipFill>
                  <pic:spPr>
                    <a:xfrm>
                      <a:off x="0" y="0"/>
                      <a:ext cx="5273040" cy="2274570"/>
                    </a:xfrm>
                    <a:prstGeom prst="rect">
                      <a:avLst/>
                    </a:prstGeom>
                    <a:noFill/>
                    <a:ln>
                      <a:noFill/>
                    </a:ln>
                  </pic:spPr>
                </pic:pic>
              </a:graphicData>
            </a:graphic>
          </wp:inline>
        </w:drawing>
      </w:r>
    </w:p>
    <w:p w:rsidR="009C441E" w:rsidRDefault="009C441E">
      <w:pPr>
        <w:spacing w:line="360" w:lineRule="auto"/>
        <w:jc w:val="left"/>
        <w:rPr>
          <w:sz w:val="24"/>
        </w:rPr>
      </w:pPr>
    </w:p>
    <w:p w:rsidR="009C441E" w:rsidRDefault="003E12BB">
      <w:pPr>
        <w:pStyle w:val="2"/>
        <w:ind w:firstLineChars="200" w:firstLine="643"/>
        <w:rPr>
          <w:rFonts w:ascii="宋体" w:eastAsia="宋体" w:hAnsi="宋体"/>
        </w:rPr>
      </w:pPr>
      <w:bookmarkStart w:id="9" w:name="_Toc21827"/>
      <w:r>
        <w:rPr>
          <w:rFonts w:ascii="宋体" w:eastAsia="宋体" w:hAnsi="宋体" w:hint="eastAsia"/>
        </w:rPr>
        <w:lastRenderedPageBreak/>
        <w:t>方式二</w:t>
      </w:r>
      <w:bookmarkEnd w:id="9"/>
    </w:p>
    <w:p w:rsidR="009C441E" w:rsidRDefault="009C441E">
      <w:pPr>
        <w:ind w:firstLineChars="200" w:firstLine="480"/>
        <w:rPr>
          <w:rFonts w:ascii="宋体" w:hAnsi="宋体"/>
          <w:sz w:val="24"/>
        </w:rPr>
      </w:pPr>
    </w:p>
    <w:p w:rsidR="009C441E" w:rsidRDefault="003E12BB">
      <w:pPr>
        <w:ind w:firstLineChars="200" w:firstLine="480"/>
        <w:rPr>
          <w:rFonts w:ascii="宋体" w:hAnsi="宋体"/>
          <w:sz w:val="24"/>
        </w:rPr>
      </w:pPr>
      <w:r>
        <w:rPr>
          <w:rFonts w:ascii="宋体" w:hAnsi="宋体" w:hint="eastAsia"/>
          <w:sz w:val="24"/>
        </w:rPr>
        <w:t>整体流程如下图所示。</w:t>
      </w: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3E12BB">
      <w:pPr>
        <w:ind w:firstLineChars="200" w:firstLine="480"/>
        <w:rPr>
          <w:rFonts w:ascii="宋体" w:hAnsi="宋体"/>
          <w:sz w:val="24"/>
        </w:rPr>
      </w:pPr>
      <w:r>
        <w:rPr>
          <w:rFonts w:ascii="宋体" w:hAnsi="宋体"/>
          <w:noProof/>
          <w:sz w:val="24"/>
        </w:rPr>
        <w:drawing>
          <wp:inline distT="0" distB="0" distL="114300" distR="114300">
            <wp:extent cx="5272405" cy="4923155"/>
            <wp:effectExtent l="0" t="0" r="4445" b="10795"/>
            <wp:docPr id="2" name="图片 2" descr="流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2"/>
                    <pic:cNvPicPr>
                      <a:picLocks noChangeAspect="1"/>
                    </pic:cNvPicPr>
                  </pic:nvPicPr>
                  <pic:blipFill>
                    <a:blip r:embed="rId16"/>
                    <a:stretch>
                      <a:fillRect/>
                    </a:stretch>
                  </pic:blipFill>
                  <pic:spPr>
                    <a:xfrm>
                      <a:off x="0" y="0"/>
                      <a:ext cx="5272405" cy="4923155"/>
                    </a:xfrm>
                    <a:prstGeom prst="rect">
                      <a:avLst/>
                    </a:prstGeom>
                  </pic:spPr>
                </pic:pic>
              </a:graphicData>
            </a:graphic>
          </wp:inline>
        </w:drawing>
      </w: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3E12BB">
      <w:pPr>
        <w:pStyle w:val="3"/>
        <w:ind w:firstLine="643"/>
        <w:rPr>
          <w:rFonts w:ascii="宋体" w:hAnsi="宋体"/>
        </w:rPr>
      </w:pPr>
      <w:bookmarkStart w:id="10" w:name="_7.2.3现金日记账查询"/>
      <w:bookmarkStart w:id="11" w:name="_Toc29995"/>
      <w:bookmarkEnd w:id="10"/>
      <w:r>
        <w:rPr>
          <w:rFonts w:ascii="宋体" w:hAnsi="宋体" w:hint="eastAsia"/>
        </w:rPr>
        <w:lastRenderedPageBreak/>
        <w:t>步骤一：导出国库单据</w:t>
      </w:r>
      <w:bookmarkEnd w:id="11"/>
    </w:p>
    <w:p w:rsidR="009C441E" w:rsidRDefault="003E12BB">
      <w:pPr>
        <w:spacing w:line="360" w:lineRule="auto"/>
        <w:ind w:firstLineChars="200" w:firstLine="480"/>
        <w:rPr>
          <w:rFonts w:ascii="宋体" w:hAnsi="宋体"/>
          <w:sz w:val="24"/>
        </w:rPr>
      </w:pPr>
      <w:r>
        <w:rPr>
          <w:rFonts w:ascii="宋体" w:hAnsi="宋体" w:hint="eastAsia"/>
          <w:sz w:val="24"/>
        </w:rPr>
        <w:t>在登陆点击【数据交换】—【数据导入导出】—【财务数据交换】，如下图所示。</w:t>
      </w:r>
    </w:p>
    <w:p w:rsidR="009C441E" w:rsidRDefault="003E12BB">
      <w:r>
        <w:rPr>
          <w:noProof/>
        </w:rPr>
        <w:drawing>
          <wp:inline distT="0" distB="0" distL="114300" distR="114300">
            <wp:extent cx="5272405" cy="2836545"/>
            <wp:effectExtent l="0" t="0" r="444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272405" cy="2836545"/>
                    </a:xfrm>
                    <a:prstGeom prst="rect">
                      <a:avLst/>
                    </a:prstGeom>
                    <a:noFill/>
                    <a:ln>
                      <a:noFill/>
                    </a:ln>
                  </pic:spPr>
                </pic:pic>
              </a:graphicData>
            </a:graphic>
          </wp:inline>
        </w:drawing>
      </w:r>
    </w:p>
    <w:p w:rsidR="009C441E" w:rsidRDefault="009C441E"/>
    <w:p w:rsidR="009C441E" w:rsidRDefault="009C441E"/>
    <w:p w:rsidR="009C441E" w:rsidRDefault="003E12BB">
      <w:pPr>
        <w:spacing w:line="360" w:lineRule="auto"/>
        <w:ind w:firstLineChars="200" w:firstLine="480"/>
        <w:jc w:val="left"/>
        <w:rPr>
          <w:sz w:val="24"/>
        </w:rPr>
      </w:pPr>
      <w:r>
        <w:rPr>
          <w:rFonts w:hint="eastAsia"/>
          <w:sz w:val="24"/>
        </w:rPr>
        <w:t>点击【基础数据导出】单位下方单位并展开，勾选单位级</w:t>
      </w:r>
      <w:r>
        <w:rPr>
          <w:rFonts w:hint="eastAsia"/>
          <w:sz w:val="24"/>
        </w:rPr>
        <w:t>-</w:t>
      </w:r>
      <w:r>
        <w:rPr>
          <w:rFonts w:hint="eastAsia"/>
          <w:sz w:val="24"/>
        </w:rPr>
        <w:t>单据后，点击右下角的【导出】。如下图所示。</w:t>
      </w:r>
    </w:p>
    <w:p w:rsidR="009C441E" w:rsidRDefault="003E12BB">
      <w:pPr>
        <w:spacing w:line="360" w:lineRule="auto"/>
        <w:jc w:val="left"/>
      </w:pPr>
      <w:r>
        <w:rPr>
          <w:noProof/>
        </w:rPr>
        <w:drawing>
          <wp:inline distT="0" distB="0" distL="114300" distR="114300">
            <wp:extent cx="5264785" cy="2372995"/>
            <wp:effectExtent l="0" t="0" r="12065"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7"/>
                    <a:stretch>
                      <a:fillRect/>
                    </a:stretch>
                  </pic:blipFill>
                  <pic:spPr>
                    <a:xfrm>
                      <a:off x="0" y="0"/>
                      <a:ext cx="5264785" cy="2372995"/>
                    </a:xfrm>
                    <a:prstGeom prst="rect">
                      <a:avLst/>
                    </a:prstGeom>
                    <a:noFill/>
                    <a:ln>
                      <a:noFill/>
                    </a:ln>
                  </pic:spPr>
                </pic:pic>
              </a:graphicData>
            </a:graphic>
          </wp:inline>
        </w:drawing>
      </w:r>
    </w:p>
    <w:p w:rsidR="009C441E" w:rsidRDefault="009C441E">
      <w:pPr>
        <w:spacing w:line="360" w:lineRule="auto"/>
        <w:jc w:val="left"/>
      </w:pPr>
    </w:p>
    <w:p w:rsidR="009C441E" w:rsidRDefault="003E12BB">
      <w:pPr>
        <w:spacing w:line="360" w:lineRule="auto"/>
        <w:ind w:firstLineChars="200" w:firstLine="480"/>
        <w:jc w:val="left"/>
        <w:rPr>
          <w:sz w:val="24"/>
        </w:rPr>
      </w:pPr>
      <w:r>
        <w:rPr>
          <w:rFonts w:hint="eastAsia"/>
          <w:sz w:val="24"/>
        </w:rPr>
        <w:t>点击导出后，会按当前浏览器的下载设置进行下载，如果有下载任务弹窗，可对文件下载路径及文件名称进行设置。如下图所示。</w:t>
      </w:r>
    </w:p>
    <w:p w:rsidR="009C441E" w:rsidRDefault="003E12BB">
      <w:pPr>
        <w:spacing w:line="360" w:lineRule="auto"/>
        <w:jc w:val="left"/>
      </w:pPr>
      <w:r>
        <w:rPr>
          <w:noProof/>
        </w:rPr>
        <w:lastRenderedPageBreak/>
        <w:drawing>
          <wp:inline distT="0" distB="0" distL="114300" distR="114300">
            <wp:extent cx="4416425" cy="2505075"/>
            <wp:effectExtent l="0" t="0" r="3175"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8"/>
                    <a:stretch>
                      <a:fillRect/>
                    </a:stretch>
                  </pic:blipFill>
                  <pic:spPr>
                    <a:xfrm>
                      <a:off x="0" y="0"/>
                      <a:ext cx="4416425" cy="2505075"/>
                    </a:xfrm>
                    <a:prstGeom prst="rect">
                      <a:avLst/>
                    </a:prstGeom>
                    <a:noFill/>
                    <a:ln>
                      <a:noFill/>
                    </a:ln>
                  </pic:spPr>
                </pic:pic>
              </a:graphicData>
            </a:graphic>
          </wp:inline>
        </w:drawing>
      </w:r>
    </w:p>
    <w:p w:rsidR="009C441E" w:rsidRDefault="003E12BB">
      <w:pPr>
        <w:spacing w:line="360" w:lineRule="auto"/>
        <w:ind w:firstLineChars="200" w:firstLine="482"/>
        <w:jc w:val="left"/>
        <w:rPr>
          <w:b/>
          <w:bCs/>
          <w:color w:val="FF0000"/>
          <w:sz w:val="24"/>
        </w:rPr>
      </w:pPr>
      <w:r>
        <w:rPr>
          <w:rFonts w:hint="eastAsia"/>
          <w:b/>
          <w:bCs/>
          <w:color w:val="FF0000"/>
          <w:sz w:val="24"/>
        </w:rPr>
        <w:t>注意：导出的</w:t>
      </w:r>
      <w:r>
        <w:rPr>
          <w:rFonts w:hint="eastAsia"/>
          <w:b/>
          <w:bCs/>
          <w:color w:val="FF0000"/>
          <w:sz w:val="24"/>
        </w:rPr>
        <w:t>XML</w:t>
      </w:r>
      <w:r>
        <w:rPr>
          <w:rFonts w:hint="eastAsia"/>
          <w:b/>
          <w:bCs/>
          <w:color w:val="FF0000"/>
          <w:sz w:val="24"/>
        </w:rPr>
        <w:t>文件是按接口规范的加密文件，不是可读文件！</w:t>
      </w:r>
    </w:p>
    <w:p w:rsidR="009C441E" w:rsidRDefault="009C441E">
      <w:pPr>
        <w:spacing w:line="360" w:lineRule="auto"/>
        <w:jc w:val="left"/>
        <w:rPr>
          <w:b/>
          <w:bCs/>
          <w:color w:val="FF0000"/>
          <w:sz w:val="24"/>
        </w:rPr>
      </w:pPr>
    </w:p>
    <w:p w:rsidR="009C441E" w:rsidRDefault="009C441E">
      <w:pPr>
        <w:spacing w:line="360" w:lineRule="auto"/>
        <w:jc w:val="left"/>
        <w:rPr>
          <w:b/>
          <w:bCs/>
          <w:color w:val="FF0000"/>
          <w:sz w:val="24"/>
        </w:rPr>
      </w:pPr>
    </w:p>
    <w:p w:rsidR="009C441E" w:rsidRDefault="003E12BB">
      <w:pPr>
        <w:pStyle w:val="3"/>
        <w:ind w:firstLine="643"/>
        <w:rPr>
          <w:rFonts w:ascii="宋体" w:hAnsi="宋体"/>
        </w:rPr>
      </w:pPr>
      <w:bookmarkStart w:id="12" w:name="_Toc9664"/>
      <w:r>
        <w:rPr>
          <w:rFonts w:ascii="宋体" w:hAnsi="宋体" w:hint="eastAsia"/>
        </w:rPr>
        <w:t>步骤二：导入国库单据</w:t>
      </w:r>
      <w:bookmarkEnd w:id="12"/>
    </w:p>
    <w:p w:rsidR="009C441E" w:rsidRDefault="003E12BB">
      <w:pPr>
        <w:spacing w:line="360" w:lineRule="auto"/>
        <w:ind w:firstLineChars="200" w:firstLine="480"/>
        <w:rPr>
          <w:sz w:val="24"/>
        </w:rPr>
      </w:pPr>
      <w:r>
        <w:rPr>
          <w:rFonts w:hint="eastAsia"/>
          <w:sz w:val="24"/>
        </w:rPr>
        <w:t>单位</w:t>
      </w:r>
      <w:r>
        <w:rPr>
          <w:rFonts w:ascii="宋体" w:hAnsi="宋体" w:hint="eastAsia"/>
          <w:sz w:val="24"/>
        </w:rPr>
        <w:t>自有</w:t>
      </w:r>
      <w:r>
        <w:rPr>
          <w:rFonts w:hint="eastAsia"/>
          <w:sz w:val="24"/>
        </w:rPr>
        <w:t>核算系统的国库单据导入功能，应支持导入上一步的单据文件。</w:t>
      </w:r>
      <w:r>
        <w:rPr>
          <w:rFonts w:ascii="宋体" w:hAnsi="宋体" w:hint="eastAsia"/>
          <w:sz w:val="24"/>
        </w:rPr>
        <w:t>具体的导入国库单据操作以单位</w:t>
      </w:r>
      <w:r>
        <w:rPr>
          <w:rFonts w:ascii="宋体" w:hAnsi="宋体" w:hint="eastAsia"/>
          <w:sz w:val="24"/>
        </w:rPr>
        <w:t>自有</w:t>
      </w:r>
      <w:r>
        <w:rPr>
          <w:rFonts w:ascii="宋体" w:hAnsi="宋体" w:hint="eastAsia"/>
          <w:sz w:val="24"/>
        </w:rPr>
        <w:t>核算系统为准。</w:t>
      </w:r>
    </w:p>
    <w:p w:rsidR="009C441E" w:rsidRDefault="009C441E">
      <w:pPr>
        <w:spacing w:line="360" w:lineRule="auto"/>
        <w:rPr>
          <w:sz w:val="24"/>
        </w:rPr>
      </w:pPr>
    </w:p>
    <w:p w:rsidR="009C441E" w:rsidRDefault="009C441E">
      <w:pPr>
        <w:spacing w:line="360" w:lineRule="auto"/>
        <w:rPr>
          <w:sz w:val="24"/>
        </w:rPr>
      </w:pPr>
    </w:p>
    <w:p w:rsidR="009C441E" w:rsidRDefault="003E12BB">
      <w:pPr>
        <w:pStyle w:val="3"/>
        <w:ind w:firstLine="643"/>
        <w:rPr>
          <w:rFonts w:ascii="宋体" w:hAnsi="宋体"/>
        </w:rPr>
      </w:pPr>
      <w:bookmarkStart w:id="13" w:name="_Toc30986"/>
      <w:r>
        <w:rPr>
          <w:rFonts w:ascii="宋体" w:hAnsi="宋体" w:hint="eastAsia"/>
        </w:rPr>
        <w:t>步骤三：单据生成凭证</w:t>
      </w:r>
      <w:r>
        <w:rPr>
          <w:rFonts w:ascii="宋体" w:hAnsi="宋体" w:hint="eastAsia"/>
        </w:rPr>
        <w:t>/</w:t>
      </w:r>
      <w:r>
        <w:rPr>
          <w:rFonts w:ascii="宋体" w:hAnsi="宋体" w:hint="eastAsia"/>
        </w:rPr>
        <w:t>凭证挂接单据</w:t>
      </w:r>
      <w:bookmarkEnd w:id="13"/>
    </w:p>
    <w:p w:rsidR="009C441E" w:rsidRDefault="003E12BB">
      <w:pPr>
        <w:spacing w:line="360" w:lineRule="auto"/>
        <w:ind w:firstLineChars="200" w:firstLine="480"/>
        <w:jc w:val="left"/>
        <w:rPr>
          <w:sz w:val="24"/>
        </w:rPr>
      </w:pPr>
      <w:r>
        <w:rPr>
          <w:rFonts w:hint="eastAsia"/>
          <w:sz w:val="24"/>
        </w:rPr>
        <w:t>在上一步，单位</w:t>
      </w:r>
      <w:r>
        <w:rPr>
          <w:rFonts w:ascii="宋体" w:hAnsi="宋体" w:hint="eastAsia"/>
          <w:sz w:val="24"/>
        </w:rPr>
        <w:t>自有</w:t>
      </w:r>
      <w:r>
        <w:rPr>
          <w:rFonts w:hint="eastAsia"/>
          <w:sz w:val="24"/>
        </w:rPr>
        <w:t>核算系统中已导入国库单据，为</w:t>
      </w:r>
      <w:r>
        <w:rPr>
          <w:rFonts w:hint="eastAsia"/>
          <w:sz w:val="24"/>
        </w:rPr>
        <w:t>建立挂接</w:t>
      </w:r>
      <w:r>
        <w:rPr>
          <w:rFonts w:hint="eastAsia"/>
          <w:sz w:val="24"/>
        </w:rPr>
        <w:t>，可通过单据生成凭证，或是把凭证分录与对应的国库单据进行挂接。注意，基于账实相符的要求和业务规范，</w:t>
      </w:r>
      <w:r>
        <w:rPr>
          <w:rFonts w:hint="eastAsia"/>
          <w:sz w:val="24"/>
        </w:rPr>
        <w:t>国库</w:t>
      </w:r>
      <w:r>
        <w:rPr>
          <w:rFonts w:hint="eastAsia"/>
          <w:sz w:val="24"/>
        </w:rPr>
        <w:t>支出单据一般和支出分录挂接时，会校验单据和辅助分录的挂接要素是否一致，比如预算项目编码、财政指标、支出功能科目、部门经济分类的大类（即编码前三位）、金额等。建议单位</w:t>
      </w:r>
      <w:r>
        <w:rPr>
          <w:rFonts w:ascii="宋体" w:hAnsi="宋体" w:hint="eastAsia"/>
          <w:sz w:val="24"/>
        </w:rPr>
        <w:t>自有</w:t>
      </w:r>
      <w:r>
        <w:rPr>
          <w:rFonts w:hint="eastAsia"/>
          <w:sz w:val="24"/>
        </w:rPr>
        <w:t>核算系统挂接时也做好该校验功能，以减少单位导入失败的可能。</w:t>
      </w:r>
    </w:p>
    <w:p w:rsidR="009C441E" w:rsidRDefault="003E12BB">
      <w:pPr>
        <w:spacing w:line="360" w:lineRule="auto"/>
        <w:ind w:firstLineChars="200" w:firstLine="482"/>
        <w:jc w:val="left"/>
        <w:rPr>
          <w:sz w:val="24"/>
        </w:rPr>
      </w:pPr>
      <w:r>
        <w:rPr>
          <w:rFonts w:hint="eastAsia"/>
          <w:b/>
          <w:bCs/>
          <w:color w:val="FF0000"/>
          <w:sz w:val="24"/>
        </w:rPr>
        <w:t>注意：具体操作步骤请以</w:t>
      </w:r>
      <w:r>
        <w:rPr>
          <w:rFonts w:ascii="宋体" w:hAnsi="宋体" w:hint="eastAsia"/>
          <w:b/>
          <w:bCs/>
          <w:color w:val="FF0000"/>
          <w:sz w:val="24"/>
        </w:rPr>
        <w:t>单位</w:t>
      </w:r>
      <w:r>
        <w:rPr>
          <w:rFonts w:hint="eastAsia"/>
          <w:b/>
          <w:bCs/>
          <w:color w:val="FF0000"/>
          <w:sz w:val="24"/>
        </w:rPr>
        <w:t>自有</w:t>
      </w:r>
      <w:r>
        <w:rPr>
          <w:rFonts w:ascii="宋体" w:hAnsi="宋体" w:hint="eastAsia"/>
          <w:b/>
          <w:bCs/>
          <w:color w:val="FF0000"/>
          <w:sz w:val="24"/>
        </w:rPr>
        <w:t>核算系统为准。</w:t>
      </w:r>
    </w:p>
    <w:p w:rsidR="009C441E" w:rsidRDefault="009C441E"/>
    <w:p w:rsidR="009C441E" w:rsidRDefault="009C441E"/>
    <w:p w:rsidR="009C441E" w:rsidRDefault="009C441E"/>
    <w:p w:rsidR="009C441E" w:rsidRDefault="003E12BB">
      <w:pPr>
        <w:pStyle w:val="3"/>
        <w:ind w:firstLine="643"/>
        <w:rPr>
          <w:rFonts w:ascii="宋体" w:hAnsi="宋体"/>
        </w:rPr>
      </w:pPr>
      <w:bookmarkStart w:id="14" w:name="_Toc20030"/>
      <w:r>
        <w:rPr>
          <w:rFonts w:ascii="宋体" w:hAnsi="宋体" w:hint="eastAsia"/>
        </w:rPr>
        <w:lastRenderedPageBreak/>
        <w:t>步骤四：账务数据导出</w:t>
      </w:r>
      <w:bookmarkEnd w:id="14"/>
    </w:p>
    <w:p w:rsidR="009C441E" w:rsidRDefault="003E12BB">
      <w:pPr>
        <w:spacing w:line="360" w:lineRule="auto"/>
        <w:ind w:firstLineChars="200" w:firstLine="480"/>
        <w:jc w:val="left"/>
        <w:rPr>
          <w:rFonts w:ascii="宋体" w:hAnsi="宋体"/>
          <w:sz w:val="24"/>
        </w:rPr>
      </w:pPr>
      <w:r>
        <w:rPr>
          <w:rFonts w:ascii="宋体" w:hAnsi="宋体" w:hint="eastAsia"/>
          <w:sz w:val="24"/>
        </w:rPr>
        <w:t>在单位</w:t>
      </w:r>
      <w:r>
        <w:rPr>
          <w:rFonts w:ascii="宋体" w:hAnsi="宋体" w:hint="eastAsia"/>
          <w:sz w:val="24"/>
        </w:rPr>
        <w:t>自有</w:t>
      </w:r>
      <w:r>
        <w:rPr>
          <w:rFonts w:ascii="宋体" w:hAnsi="宋体" w:hint="eastAsia"/>
          <w:sz w:val="24"/>
        </w:rPr>
        <w:t>核算系统</w:t>
      </w:r>
      <w:r>
        <w:rPr>
          <w:rFonts w:ascii="宋体" w:hAnsi="宋体" w:hint="eastAsia"/>
          <w:sz w:val="24"/>
        </w:rPr>
        <w:t>把账务数据导出为</w:t>
      </w:r>
      <w:r>
        <w:rPr>
          <w:rFonts w:ascii="宋体" w:hAnsi="宋体" w:hint="eastAsia"/>
          <w:sz w:val="24"/>
        </w:rPr>
        <w:t>XML</w:t>
      </w:r>
      <w:r>
        <w:rPr>
          <w:rFonts w:ascii="宋体" w:hAnsi="宋体" w:hint="eastAsia"/>
          <w:sz w:val="24"/>
        </w:rPr>
        <w:t>文件，具体的账务数据导出操作以单位</w:t>
      </w:r>
      <w:r>
        <w:rPr>
          <w:rFonts w:ascii="宋体" w:hAnsi="宋体" w:hint="eastAsia"/>
          <w:sz w:val="24"/>
        </w:rPr>
        <w:t>自有</w:t>
      </w:r>
      <w:r>
        <w:rPr>
          <w:rFonts w:ascii="宋体" w:hAnsi="宋体" w:hint="eastAsia"/>
          <w:sz w:val="24"/>
        </w:rPr>
        <w:t>核算系统为准。</w:t>
      </w:r>
    </w:p>
    <w:p w:rsidR="009C441E" w:rsidRDefault="009C441E">
      <w:pPr>
        <w:spacing w:line="360" w:lineRule="auto"/>
        <w:ind w:firstLineChars="200" w:firstLine="480"/>
        <w:jc w:val="left"/>
        <w:rPr>
          <w:sz w:val="24"/>
        </w:rPr>
      </w:pPr>
    </w:p>
    <w:p w:rsidR="009C441E" w:rsidRDefault="003E12BB">
      <w:pPr>
        <w:pStyle w:val="3"/>
        <w:ind w:firstLine="643"/>
        <w:rPr>
          <w:rFonts w:ascii="宋体" w:hAnsi="宋体"/>
        </w:rPr>
      </w:pPr>
      <w:bookmarkStart w:id="15" w:name="_Toc9945"/>
      <w:r>
        <w:rPr>
          <w:rFonts w:ascii="宋体" w:hAnsi="宋体" w:hint="eastAsia"/>
        </w:rPr>
        <w:t>步骤五：账务数据导入</w:t>
      </w:r>
      <w:bookmarkEnd w:id="15"/>
    </w:p>
    <w:p w:rsidR="009C441E" w:rsidRDefault="003E12BB">
      <w:pPr>
        <w:spacing w:line="360" w:lineRule="auto"/>
        <w:ind w:firstLineChars="200" w:firstLine="480"/>
        <w:jc w:val="left"/>
        <w:rPr>
          <w:rFonts w:ascii="宋体" w:hAnsi="宋体"/>
          <w:sz w:val="24"/>
        </w:rPr>
      </w:pPr>
      <w:r>
        <w:rPr>
          <w:rFonts w:hint="eastAsia"/>
          <w:sz w:val="24"/>
        </w:rPr>
        <w:t>把</w:t>
      </w:r>
      <w:r>
        <w:rPr>
          <w:rFonts w:ascii="宋体" w:hAnsi="宋体" w:hint="eastAsia"/>
          <w:sz w:val="24"/>
        </w:rPr>
        <w:t>单位</w:t>
      </w:r>
      <w:r>
        <w:rPr>
          <w:rFonts w:ascii="宋体" w:hAnsi="宋体" w:hint="eastAsia"/>
          <w:sz w:val="24"/>
        </w:rPr>
        <w:t>自有</w:t>
      </w:r>
      <w:r>
        <w:rPr>
          <w:rFonts w:ascii="宋体" w:hAnsi="宋体" w:hint="eastAsia"/>
          <w:sz w:val="24"/>
        </w:rPr>
        <w:t>核算系统导出的</w:t>
      </w:r>
      <w:r>
        <w:rPr>
          <w:rFonts w:hint="eastAsia"/>
          <w:sz w:val="24"/>
        </w:rPr>
        <w:t>账务数据加密文件在内网电脑准备好，登录“数字政府”公共综合平台，点击右上角的岗位切换下拉按钮，选到会计经办角色。切换岗位后，页面左侧会出现对应的“单位会计核算”菜单栏，进入</w:t>
      </w:r>
      <w:r>
        <w:rPr>
          <w:rFonts w:ascii="宋体" w:hAnsi="宋体" w:hint="eastAsia"/>
          <w:sz w:val="24"/>
        </w:rPr>
        <w:t>【数据交换】—【数据导入导出】—【财务数据交换】。如下图所示。</w:t>
      </w:r>
    </w:p>
    <w:p w:rsidR="009C441E" w:rsidRDefault="009C441E">
      <w:pPr>
        <w:spacing w:line="360" w:lineRule="auto"/>
        <w:ind w:firstLineChars="200" w:firstLine="480"/>
        <w:jc w:val="left"/>
        <w:rPr>
          <w:rFonts w:ascii="宋体" w:hAnsi="宋体"/>
          <w:sz w:val="24"/>
        </w:rPr>
      </w:pPr>
    </w:p>
    <w:p w:rsidR="009C441E" w:rsidRDefault="003E12BB">
      <w:pPr>
        <w:spacing w:line="360" w:lineRule="auto"/>
        <w:jc w:val="left"/>
        <w:rPr>
          <w:sz w:val="24"/>
        </w:rPr>
      </w:pPr>
      <w:r>
        <w:rPr>
          <w:noProof/>
        </w:rPr>
        <w:drawing>
          <wp:inline distT="0" distB="0" distL="114300" distR="114300">
            <wp:extent cx="5272405" cy="2836545"/>
            <wp:effectExtent l="0" t="0" r="4445" b="190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0"/>
                    <a:stretch>
                      <a:fillRect/>
                    </a:stretch>
                  </pic:blipFill>
                  <pic:spPr>
                    <a:xfrm>
                      <a:off x="0" y="0"/>
                      <a:ext cx="5272405" cy="2836545"/>
                    </a:xfrm>
                    <a:prstGeom prst="rect">
                      <a:avLst/>
                    </a:prstGeom>
                    <a:noFill/>
                    <a:ln>
                      <a:noFill/>
                    </a:ln>
                  </pic:spPr>
                </pic:pic>
              </a:graphicData>
            </a:graphic>
          </wp:inline>
        </w:drawing>
      </w:r>
    </w:p>
    <w:p w:rsidR="009C441E" w:rsidRDefault="009C441E">
      <w:pPr>
        <w:jc w:val="left"/>
      </w:pPr>
    </w:p>
    <w:p w:rsidR="009C441E" w:rsidRDefault="009C441E">
      <w:pPr>
        <w:jc w:val="left"/>
      </w:pPr>
    </w:p>
    <w:p w:rsidR="009C441E" w:rsidRDefault="003E12BB">
      <w:pPr>
        <w:spacing w:line="360" w:lineRule="auto"/>
        <w:ind w:firstLine="420"/>
        <w:jc w:val="left"/>
        <w:rPr>
          <w:sz w:val="24"/>
        </w:rPr>
      </w:pPr>
      <w:r>
        <w:rPr>
          <w:rFonts w:hint="eastAsia"/>
          <w:sz w:val="24"/>
        </w:rPr>
        <w:t>在菜单界面点击凭证导入，注意切换单位账套，选择文件，点击【打开】。如下图所示。</w:t>
      </w:r>
    </w:p>
    <w:p w:rsidR="009C441E" w:rsidRDefault="009C441E">
      <w:pPr>
        <w:ind w:firstLineChars="200" w:firstLine="480"/>
        <w:jc w:val="left"/>
        <w:rPr>
          <w:rFonts w:ascii="宋体" w:hAnsi="宋体"/>
          <w:sz w:val="24"/>
        </w:rPr>
      </w:pPr>
    </w:p>
    <w:p w:rsidR="009C441E" w:rsidRDefault="003E12BB">
      <w:pPr>
        <w:jc w:val="left"/>
      </w:pPr>
      <w:r>
        <w:rPr>
          <w:noProof/>
        </w:rPr>
        <w:lastRenderedPageBreak/>
        <w:drawing>
          <wp:inline distT="0" distB="0" distL="114300" distR="114300">
            <wp:extent cx="5269230" cy="3084195"/>
            <wp:effectExtent l="0" t="0" r="7620" b="190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1"/>
                    <a:stretch>
                      <a:fillRect/>
                    </a:stretch>
                  </pic:blipFill>
                  <pic:spPr>
                    <a:xfrm>
                      <a:off x="0" y="0"/>
                      <a:ext cx="5269230" cy="3084195"/>
                    </a:xfrm>
                    <a:prstGeom prst="rect">
                      <a:avLst/>
                    </a:prstGeom>
                    <a:noFill/>
                    <a:ln>
                      <a:noFill/>
                    </a:ln>
                  </pic:spPr>
                </pic:pic>
              </a:graphicData>
            </a:graphic>
          </wp:inline>
        </w:drawing>
      </w:r>
    </w:p>
    <w:p w:rsidR="009C441E" w:rsidRDefault="009C441E">
      <w:pPr>
        <w:ind w:firstLine="420"/>
        <w:jc w:val="left"/>
        <w:rPr>
          <w:rFonts w:ascii="宋体" w:hAnsi="宋体"/>
          <w:sz w:val="24"/>
        </w:rPr>
      </w:pPr>
    </w:p>
    <w:p w:rsidR="009C441E" w:rsidRDefault="009C441E">
      <w:pPr>
        <w:ind w:firstLine="420"/>
        <w:jc w:val="left"/>
        <w:rPr>
          <w:rFonts w:ascii="宋体" w:hAnsi="宋体"/>
          <w:sz w:val="24"/>
        </w:rPr>
      </w:pPr>
    </w:p>
    <w:p w:rsidR="009C441E" w:rsidRDefault="003E12BB">
      <w:pPr>
        <w:spacing w:line="360" w:lineRule="auto"/>
        <w:ind w:firstLine="420"/>
        <w:jc w:val="left"/>
        <w:rPr>
          <w:sz w:val="24"/>
        </w:rPr>
      </w:pPr>
      <w:r>
        <w:rPr>
          <w:rFonts w:hint="eastAsia"/>
          <w:sz w:val="24"/>
        </w:rPr>
        <w:t>页面提示“正在导入中，请稍候”，说明数据正在分析处理，请勿关闭数据交换菜单。在看到凭证数据导入界面中出现导入成功，可点击查看详细信息。在收到系统反馈的详细信息后，可按“导入测试反馈常见问题</w:t>
      </w:r>
      <w:r>
        <w:rPr>
          <w:rFonts w:hint="eastAsia"/>
          <w:sz w:val="24"/>
        </w:rPr>
        <w:t>QA</w:t>
      </w:r>
      <w:r>
        <w:rPr>
          <w:rFonts w:hint="eastAsia"/>
          <w:sz w:val="24"/>
        </w:rPr>
        <w:t>”自助解决，若无对应解决方案或无法解决，请及时反馈问题。</w:t>
      </w:r>
    </w:p>
    <w:p w:rsidR="009C441E" w:rsidRDefault="009C441E">
      <w:pPr>
        <w:spacing w:line="360" w:lineRule="auto"/>
        <w:ind w:firstLineChars="200" w:firstLine="480"/>
        <w:rPr>
          <w:sz w:val="24"/>
        </w:rPr>
      </w:pPr>
    </w:p>
    <w:sectPr w:rsidR="009C441E">
      <w:footerReference w:type="default" r:id="rId1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BB" w:rsidRDefault="003E12BB">
      <w:r>
        <w:separator/>
      </w:r>
    </w:p>
  </w:endnote>
  <w:endnote w:type="continuationSeparator" w:id="0">
    <w:p w:rsidR="003E12BB" w:rsidRDefault="003E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619"/>
    </w:sdtPr>
    <w:sdtEndPr/>
    <w:sdtContent>
      <w:p w:rsidR="009C441E" w:rsidRDefault="003E12BB">
        <w:pPr>
          <w:pStyle w:val="a5"/>
          <w:ind w:firstLine="360"/>
          <w:jc w:val="center"/>
        </w:pPr>
        <w:r>
          <w:fldChar w:fldCharType="begin"/>
        </w:r>
        <w:r>
          <w:instrText xml:space="preserve"> PAGE   \* MERGEFORMAT </w:instrText>
        </w:r>
        <w:r>
          <w:fldChar w:fldCharType="separate"/>
        </w:r>
        <w:r w:rsidR="00DD34E6" w:rsidRPr="00DD34E6">
          <w:rPr>
            <w:noProof/>
            <w:lang w:val="zh-CN"/>
          </w:rPr>
          <w:t>12</w:t>
        </w:r>
        <w:r>
          <w:rPr>
            <w:lang w:val="zh-CN"/>
          </w:rPr>
          <w:fldChar w:fldCharType="end"/>
        </w:r>
      </w:p>
    </w:sdtContent>
  </w:sdt>
  <w:p w:rsidR="009C441E" w:rsidRDefault="009C441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BB" w:rsidRDefault="003E12BB">
      <w:r>
        <w:separator/>
      </w:r>
    </w:p>
  </w:footnote>
  <w:footnote w:type="continuationSeparator" w:id="0">
    <w:p w:rsidR="003E12BB" w:rsidRDefault="003E1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8F"/>
    <w:rsid w:val="00006A61"/>
    <w:rsid w:val="00007D7B"/>
    <w:rsid w:val="00035D3F"/>
    <w:rsid w:val="00052829"/>
    <w:rsid w:val="00066164"/>
    <w:rsid w:val="00084D0E"/>
    <w:rsid w:val="00085251"/>
    <w:rsid w:val="00087A0D"/>
    <w:rsid w:val="000971B1"/>
    <w:rsid w:val="000A41E6"/>
    <w:rsid w:val="000A79B1"/>
    <w:rsid w:val="000B0732"/>
    <w:rsid w:val="000B4569"/>
    <w:rsid w:val="000C6FCF"/>
    <w:rsid w:val="000D13F3"/>
    <w:rsid w:val="000E132E"/>
    <w:rsid w:val="000E4219"/>
    <w:rsid w:val="000F7E86"/>
    <w:rsid w:val="001020E5"/>
    <w:rsid w:val="00103773"/>
    <w:rsid w:val="00117BE7"/>
    <w:rsid w:val="0012309D"/>
    <w:rsid w:val="00136F23"/>
    <w:rsid w:val="00141CA9"/>
    <w:rsid w:val="001568E0"/>
    <w:rsid w:val="00177252"/>
    <w:rsid w:val="001802E2"/>
    <w:rsid w:val="00181369"/>
    <w:rsid w:val="0018650B"/>
    <w:rsid w:val="0019786C"/>
    <w:rsid w:val="001A045E"/>
    <w:rsid w:val="001A2010"/>
    <w:rsid w:val="001A6265"/>
    <w:rsid w:val="001B2953"/>
    <w:rsid w:val="001C3418"/>
    <w:rsid w:val="001D2E76"/>
    <w:rsid w:val="001E5FEB"/>
    <w:rsid w:val="00200F04"/>
    <w:rsid w:val="00207E8D"/>
    <w:rsid w:val="002167A2"/>
    <w:rsid w:val="002178EB"/>
    <w:rsid w:val="00220DB4"/>
    <w:rsid w:val="0022548A"/>
    <w:rsid w:val="002333F3"/>
    <w:rsid w:val="00235F5F"/>
    <w:rsid w:val="00237F41"/>
    <w:rsid w:val="0024363A"/>
    <w:rsid w:val="00247187"/>
    <w:rsid w:val="00251A75"/>
    <w:rsid w:val="0025591C"/>
    <w:rsid w:val="00264C7F"/>
    <w:rsid w:val="0026589B"/>
    <w:rsid w:val="002820AA"/>
    <w:rsid w:val="0028305F"/>
    <w:rsid w:val="00290A58"/>
    <w:rsid w:val="00291DF0"/>
    <w:rsid w:val="002B6D6A"/>
    <w:rsid w:val="002E02A3"/>
    <w:rsid w:val="002E253D"/>
    <w:rsid w:val="002E793A"/>
    <w:rsid w:val="003016ED"/>
    <w:rsid w:val="003053C1"/>
    <w:rsid w:val="00305C71"/>
    <w:rsid w:val="0030652F"/>
    <w:rsid w:val="00313106"/>
    <w:rsid w:val="00317F45"/>
    <w:rsid w:val="00333C69"/>
    <w:rsid w:val="00334B3A"/>
    <w:rsid w:val="003459DA"/>
    <w:rsid w:val="00352020"/>
    <w:rsid w:val="003541A7"/>
    <w:rsid w:val="00373EF5"/>
    <w:rsid w:val="00380876"/>
    <w:rsid w:val="00380BF2"/>
    <w:rsid w:val="0038657B"/>
    <w:rsid w:val="0039415A"/>
    <w:rsid w:val="00396CE3"/>
    <w:rsid w:val="003A68DF"/>
    <w:rsid w:val="003B74A6"/>
    <w:rsid w:val="003D405A"/>
    <w:rsid w:val="003D76FB"/>
    <w:rsid w:val="003E12BB"/>
    <w:rsid w:val="003E1AD4"/>
    <w:rsid w:val="003E3E79"/>
    <w:rsid w:val="003F2781"/>
    <w:rsid w:val="0040277F"/>
    <w:rsid w:val="004108E5"/>
    <w:rsid w:val="00433A40"/>
    <w:rsid w:val="00437720"/>
    <w:rsid w:val="0044627F"/>
    <w:rsid w:val="00461A93"/>
    <w:rsid w:val="0047102A"/>
    <w:rsid w:val="004720E2"/>
    <w:rsid w:val="00473E8E"/>
    <w:rsid w:val="00494899"/>
    <w:rsid w:val="004A13B6"/>
    <w:rsid w:val="004A472F"/>
    <w:rsid w:val="004A7E82"/>
    <w:rsid w:val="004B666A"/>
    <w:rsid w:val="004D3BC9"/>
    <w:rsid w:val="004D4FA6"/>
    <w:rsid w:val="004D6ECC"/>
    <w:rsid w:val="004F123D"/>
    <w:rsid w:val="00504445"/>
    <w:rsid w:val="00524520"/>
    <w:rsid w:val="00526682"/>
    <w:rsid w:val="005358C8"/>
    <w:rsid w:val="00552F2F"/>
    <w:rsid w:val="00583359"/>
    <w:rsid w:val="00585CF9"/>
    <w:rsid w:val="005861AD"/>
    <w:rsid w:val="00590BA5"/>
    <w:rsid w:val="005C4165"/>
    <w:rsid w:val="005D0890"/>
    <w:rsid w:val="005D40A4"/>
    <w:rsid w:val="005D5BB7"/>
    <w:rsid w:val="005E3410"/>
    <w:rsid w:val="005E35EE"/>
    <w:rsid w:val="005F44BB"/>
    <w:rsid w:val="006049A4"/>
    <w:rsid w:val="00615CCD"/>
    <w:rsid w:val="00620D34"/>
    <w:rsid w:val="00620D88"/>
    <w:rsid w:val="00641C4D"/>
    <w:rsid w:val="00663640"/>
    <w:rsid w:val="006800C6"/>
    <w:rsid w:val="00680857"/>
    <w:rsid w:val="00690641"/>
    <w:rsid w:val="0069657E"/>
    <w:rsid w:val="006B7740"/>
    <w:rsid w:val="006C3F70"/>
    <w:rsid w:val="006C53FF"/>
    <w:rsid w:val="006D051A"/>
    <w:rsid w:val="006D217D"/>
    <w:rsid w:val="006F6368"/>
    <w:rsid w:val="00706CD2"/>
    <w:rsid w:val="007254C9"/>
    <w:rsid w:val="00773853"/>
    <w:rsid w:val="00784073"/>
    <w:rsid w:val="00792DF2"/>
    <w:rsid w:val="007A212B"/>
    <w:rsid w:val="007A3CC4"/>
    <w:rsid w:val="007A532D"/>
    <w:rsid w:val="007A660C"/>
    <w:rsid w:val="007A727A"/>
    <w:rsid w:val="007B3552"/>
    <w:rsid w:val="007B3A87"/>
    <w:rsid w:val="007B3F59"/>
    <w:rsid w:val="007B5D7C"/>
    <w:rsid w:val="007D0986"/>
    <w:rsid w:val="007D2991"/>
    <w:rsid w:val="007D7FF3"/>
    <w:rsid w:val="007E079B"/>
    <w:rsid w:val="007E08EE"/>
    <w:rsid w:val="007F141E"/>
    <w:rsid w:val="00807AC3"/>
    <w:rsid w:val="00810923"/>
    <w:rsid w:val="00825BD5"/>
    <w:rsid w:val="00841780"/>
    <w:rsid w:val="00850A89"/>
    <w:rsid w:val="0086243E"/>
    <w:rsid w:val="008629B0"/>
    <w:rsid w:val="008663D1"/>
    <w:rsid w:val="0087488B"/>
    <w:rsid w:val="008768DA"/>
    <w:rsid w:val="00880AA9"/>
    <w:rsid w:val="008969BD"/>
    <w:rsid w:val="008B2758"/>
    <w:rsid w:val="008B4C9D"/>
    <w:rsid w:val="008B72E2"/>
    <w:rsid w:val="008C2DCD"/>
    <w:rsid w:val="008C6E52"/>
    <w:rsid w:val="008E10AB"/>
    <w:rsid w:val="00906E68"/>
    <w:rsid w:val="00917994"/>
    <w:rsid w:val="00931544"/>
    <w:rsid w:val="00934C58"/>
    <w:rsid w:val="0093681B"/>
    <w:rsid w:val="00950962"/>
    <w:rsid w:val="00951B1F"/>
    <w:rsid w:val="00952433"/>
    <w:rsid w:val="00976D55"/>
    <w:rsid w:val="0098155F"/>
    <w:rsid w:val="00995D1E"/>
    <w:rsid w:val="009A3590"/>
    <w:rsid w:val="009C190D"/>
    <w:rsid w:val="009C350F"/>
    <w:rsid w:val="009C441E"/>
    <w:rsid w:val="009D1554"/>
    <w:rsid w:val="00A02DEF"/>
    <w:rsid w:val="00A047EB"/>
    <w:rsid w:val="00A05600"/>
    <w:rsid w:val="00A1531E"/>
    <w:rsid w:val="00A21449"/>
    <w:rsid w:val="00A31D88"/>
    <w:rsid w:val="00A35F16"/>
    <w:rsid w:val="00A54C65"/>
    <w:rsid w:val="00A5665B"/>
    <w:rsid w:val="00A60857"/>
    <w:rsid w:val="00A62493"/>
    <w:rsid w:val="00A71408"/>
    <w:rsid w:val="00A730A6"/>
    <w:rsid w:val="00A7413C"/>
    <w:rsid w:val="00A74CB2"/>
    <w:rsid w:val="00A91424"/>
    <w:rsid w:val="00A95A99"/>
    <w:rsid w:val="00AB2296"/>
    <w:rsid w:val="00AB478D"/>
    <w:rsid w:val="00AB5BC2"/>
    <w:rsid w:val="00AE1D0F"/>
    <w:rsid w:val="00AE24E7"/>
    <w:rsid w:val="00AE293F"/>
    <w:rsid w:val="00AE43F4"/>
    <w:rsid w:val="00AE44CC"/>
    <w:rsid w:val="00AE6CFC"/>
    <w:rsid w:val="00B20995"/>
    <w:rsid w:val="00B26504"/>
    <w:rsid w:val="00B33B90"/>
    <w:rsid w:val="00B34FC7"/>
    <w:rsid w:val="00B42EBB"/>
    <w:rsid w:val="00B53CA6"/>
    <w:rsid w:val="00B60B87"/>
    <w:rsid w:val="00B64F43"/>
    <w:rsid w:val="00B857B8"/>
    <w:rsid w:val="00B95864"/>
    <w:rsid w:val="00B9770A"/>
    <w:rsid w:val="00BC1414"/>
    <w:rsid w:val="00BC4E2E"/>
    <w:rsid w:val="00BE6E56"/>
    <w:rsid w:val="00BE7ECA"/>
    <w:rsid w:val="00BF5A58"/>
    <w:rsid w:val="00C53BBC"/>
    <w:rsid w:val="00C67F92"/>
    <w:rsid w:val="00C74AF5"/>
    <w:rsid w:val="00CA29F3"/>
    <w:rsid w:val="00CC6B88"/>
    <w:rsid w:val="00CE5752"/>
    <w:rsid w:val="00CF10D3"/>
    <w:rsid w:val="00CF7C2E"/>
    <w:rsid w:val="00D055C9"/>
    <w:rsid w:val="00D05856"/>
    <w:rsid w:val="00D146D0"/>
    <w:rsid w:val="00D20BCA"/>
    <w:rsid w:val="00D31022"/>
    <w:rsid w:val="00D3779D"/>
    <w:rsid w:val="00D43430"/>
    <w:rsid w:val="00D43D7A"/>
    <w:rsid w:val="00D9463D"/>
    <w:rsid w:val="00DA0702"/>
    <w:rsid w:val="00DA2BFF"/>
    <w:rsid w:val="00DA349F"/>
    <w:rsid w:val="00DA4697"/>
    <w:rsid w:val="00DA5206"/>
    <w:rsid w:val="00DC143F"/>
    <w:rsid w:val="00DC46A6"/>
    <w:rsid w:val="00DC588F"/>
    <w:rsid w:val="00DD34E6"/>
    <w:rsid w:val="00DF61EA"/>
    <w:rsid w:val="00E056E3"/>
    <w:rsid w:val="00E06557"/>
    <w:rsid w:val="00E11D27"/>
    <w:rsid w:val="00E168BF"/>
    <w:rsid w:val="00E16BAF"/>
    <w:rsid w:val="00E3171A"/>
    <w:rsid w:val="00E33881"/>
    <w:rsid w:val="00E63C0D"/>
    <w:rsid w:val="00E776DF"/>
    <w:rsid w:val="00E85037"/>
    <w:rsid w:val="00E86E9F"/>
    <w:rsid w:val="00E90D9D"/>
    <w:rsid w:val="00E919A7"/>
    <w:rsid w:val="00E92130"/>
    <w:rsid w:val="00EC4E4C"/>
    <w:rsid w:val="00EC60B3"/>
    <w:rsid w:val="00ED2A4F"/>
    <w:rsid w:val="00EF6B53"/>
    <w:rsid w:val="00F1014F"/>
    <w:rsid w:val="00F26435"/>
    <w:rsid w:val="00F301EC"/>
    <w:rsid w:val="00F42BAB"/>
    <w:rsid w:val="00F54965"/>
    <w:rsid w:val="00F63476"/>
    <w:rsid w:val="00F83B9B"/>
    <w:rsid w:val="00F876E8"/>
    <w:rsid w:val="00F94E00"/>
    <w:rsid w:val="00F9630B"/>
    <w:rsid w:val="00F97C66"/>
    <w:rsid w:val="00FA0B09"/>
    <w:rsid w:val="00FA2ABC"/>
    <w:rsid w:val="00FA4C6C"/>
    <w:rsid w:val="00FB2584"/>
    <w:rsid w:val="00FB29F9"/>
    <w:rsid w:val="00FD0ABC"/>
    <w:rsid w:val="00FD72C8"/>
    <w:rsid w:val="00FF6561"/>
    <w:rsid w:val="05396BE9"/>
    <w:rsid w:val="056815C6"/>
    <w:rsid w:val="069B5B9E"/>
    <w:rsid w:val="0ABF1A96"/>
    <w:rsid w:val="0AF30114"/>
    <w:rsid w:val="0B724F56"/>
    <w:rsid w:val="0C63430B"/>
    <w:rsid w:val="0FE565AD"/>
    <w:rsid w:val="15305FA8"/>
    <w:rsid w:val="15E849F4"/>
    <w:rsid w:val="169F3639"/>
    <w:rsid w:val="16FC1135"/>
    <w:rsid w:val="1748342C"/>
    <w:rsid w:val="17942EB5"/>
    <w:rsid w:val="18E27BD4"/>
    <w:rsid w:val="192B5A95"/>
    <w:rsid w:val="198264BA"/>
    <w:rsid w:val="1A00379D"/>
    <w:rsid w:val="1B2E2B0E"/>
    <w:rsid w:val="1C314A3A"/>
    <w:rsid w:val="1DF27F10"/>
    <w:rsid w:val="1E99228D"/>
    <w:rsid w:val="20977378"/>
    <w:rsid w:val="23CE4CAE"/>
    <w:rsid w:val="274F152C"/>
    <w:rsid w:val="27AA455E"/>
    <w:rsid w:val="2A1210E3"/>
    <w:rsid w:val="2A973422"/>
    <w:rsid w:val="2BC92715"/>
    <w:rsid w:val="300750F8"/>
    <w:rsid w:val="318A4971"/>
    <w:rsid w:val="343035D9"/>
    <w:rsid w:val="34B80895"/>
    <w:rsid w:val="34EF3796"/>
    <w:rsid w:val="358C1068"/>
    <w:rsid w:val="35D13969"/>
    <w:rsid w:val="372379E5"/>
    <w:rsid w:val="389D4B8B"/>
    <w:rsid w:val="3A0A04FB"/>
    <w:rsid w:val="3D4567CA"/>
    <w:rsid w:val="3D683388"/>
    <w:rsid w:val="3F6D43A7"/>
    <w:rsid w:val="412608F6"/>
    <w:rsid w:val="417061E4"/>
    <w:rsid w:val="422405FD"/>
    <w:rsid w:val="44222BBE"/>
    <w:rsid w:val="44AA7F97"/>
    <w:rsid w:val="46237310"/>
    <w:rsid w:val="4B73013B"/>
    <w:rsid w:val="4D901142"/>
    <w:rsid w:val="4FF33486"/>
    <w:rsid w:val="50090861"/>
    <w:rsid w:val="50935010"/>
    <w:rsid w:val="51E9538A"/>
    <w:rsid w:val="51EE735C"/>
    <w:rsid w:val="52C33F2F"/>
    <w:rsid w:val="54C16FD0"/>
    <w:rsid w:val="55313825"/>
    <w:rsid w:val="55830964"/>
    <w:rsid w:val="55E667E8"/>
    <w:rsid w:val="57531D10"/>
    <w:rsid w:val="5754147F"/>
    <w:rsid w:val="579176C5"/>
    <w:rsid w:val="58C242F4"/>
    <w:rsid w:val="58FF5A42"/>
    <w:rsid w:val="5A6C51B6"/>
    <w:rsid w:val="5AF061DD"/>
    <w:rsid w:val="5B0D7BA0"/>
    <w:rsid w:val="5C380885"/>
    <w:rsid w:val="60134D13"/>
    <w:rsid w:val="60177F7A"/>
    <w:rsid w:val="62BC703F"/>
    <w:rsid w:val="6466147E"/>
    <w:rsid w:val="65617EE6"/>
    <w:rsid w:val="659B2027"/>
    <w:rsid w:val="6C2E314B"/>
    <w:rsid w:val="6D2C291B"/>
    <w:rsid w:val="6D7F1A35"/>
    <w:rsid w:val="6E840684"/>
    <w:rsid w:val="6EDC543A"/>
    <w:rsid w:val="700763C0"/>
    <w:rsid w:val="70F71293"/>
    <w:rsid w:val="74A818B2"/>
    <w:rsid w:val="75A16A94"/>
    <w:rsid w:val="7659625C"/>
    <w:rsid w:val="76BB38B4"/>
    <w:rsid w:val="77D04BD8"/>
    <w:rsid w:val="79052E74"/>
    <w:rsid w:val="7BF6442C"/>
    <w:rsid w:val="7CE00E45"/>
    <w:rsid w:val="7E694858"/>
    <w:rsid w:val="7F4820CA"/>
    <w:rsid w:val="7F6C51CA"/>
    <w:rsid w:val="7F775AC4"/>
    <w:rsid w:val="7FC7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7">
    <w:name w:val="FollowedHyperlink"/>
    <w:basedOn w:val="a0"/>
    <w:uiPriority w:val="99"/>
    <w:semiHidden/>
    <w:unhideWhenUsed/>
    <w:qFormat/>
    <w:rPr>
      <w:color w:val="954F72" w:themeColor="followedHyperlink"/>
      <w:u w:val="single"/>
    </w:rPr>
  </w:style>
  <w:style w:type="character" w:styleId="a8">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7">
    <w:name w:val="FollowedHyperlink"/>
    <w:basedOn w:val="a0"/>
    <w:uiPriority w:val="99"/>
    <w:semiHidden/>
    <w:unhideWhenUsed/>
    <w:qFormat/>
    <w:rPr>
      <w:color w:val="954F72" w:themeColor="followedHyperlink"/>
      <w:u w:val="single"/>
    </w:rPr>
  </w:style>
  <w:style w:type="character" w:styleId="a8">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36B81-F901-418B-A482-04CB173E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彭庆</dc:creator>
  <cp:lastModifiedBy>徐斯华</cp:lastModifiedBy>
  <cp:revision>2</cp:revision>
  <dcterms:created xsi:type="dcterms:W3CDTF">2024-08-22T03:57:00Z</dcterms:created>
  <dcterms:modified xsi:type="dcterms:W3CDTF">2024-08-22T03:57:00Z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6E3E8DFA57AE40C1A109594958AADF07</vt:lpwstr>
  </property>
</Properties>
</file>